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на разработку сайта и интернет магазина</w:t>
      </w:r>
    </w:p>
    <w:p>
      <w:r>
        <w:t>Договор № [номер]</w:t>
        <w:br/>
        <w:t>Санкт-Петербург                                  [дата]</w:t>
      </w:r>
    </w:p>
    <w:p>
      <w:r>
        <w:t>ООО «Гифтс-маркет», именуемое «Исполнитель», в лице [должность и ФИО], действующего на основании [Устава / доверенности с номером и датой], с одной стороны, и [полное наименование ООО / ФИО ИП], именуемое «Заказчик», в лице [должность и ФИО], действующего на основании [основание полномочий], с другой стороны, совместно именуемые «Стороны», заключили настоящий договор.</w:t>
      </w:r>
    </w:p>
    <w:p>
      <w:pPr>
        <w:pStyle w:val="Heading1"/>
      </w:pPr>
      <w:r>
        <w:t>1 Предмет договора</w:t>
      </w:r>
    </w:p>
    <w:p>
      <w:r>
        <w:t>1.1. Исполнитель разрабатывает сайт или интернет-магазин для Заказчика [проект, домен] и передает результат по техническому заданию в приложении 1. Договор является смешанным: к созданию результата применяются правила подряда, к самостоятельному сопровождению — правила оказания услуг, к интеллектуальным правам — раздел VII ГК РФ.</w:t>
      </w:r>
    </w:p>
    <w:p>
      <w:r>
        <w:t>1.2. Техническое задание фиксирует страницы, функции, версии систем, интеграции, ограничения, критерии тестирования, этапы, сроки и цену. Если сайт не является магазином, функции корзины, оплат, 1С и СДЭК отмечаются как не входящие. Неописанная функция не считается согласованной только из-за сходства с референсом.</w:t>
      </w:r>
    </w:p>
    <w:p>
      <w:pPr>
        <w:pStyle w:val="Heading1"/>
      </w:pPr>
      <w:r>
        <w:t>2 Разработка сдача и гарантия</w:t>
      </w:r>
    </w:p>
    <w:p>
      <w:r>
        <w:t>2.1. Работы выполняются по этапам: проектирование, дизайн, разработка, интеграции и тестирование, запуск и передача. Следующий этап начинается при выполнении его условий из приложения 1. Даты фиксируются после согласования входных данных; график не изменяется односторонне.</w:t>
      </w:r>
    </w:p>
    <w:p>
      <w:r>
        <w:t>2.2. Исполнитель использует тестовую среду и безопасные тестовые данные. Перед изменением рабочего сайта создаются согласованные резервные копии и план отката. Изменения в продуктивной 1С, списание средств, оформление реальных доставок и фискальные операции выполняются только по отдельному подтверждению Заказчика.</w:t>
      </w:r>
    </w:p>
    <w:p>
      <w:r>
        <w:t>2.3. По каждому этапу передаются проверяемый результат, версия и протокол испытаний. Приемка включает сценарии приложения 1. Наличие критического дефекта, препятствующего основному сценарию, не позволяет считать соответствующий этап готовым. Некритические недостатки фиксируются с согласованным сроком; требование новой функции оформляется как изменение задания.</w:t>
      </w:r>
    </w:p>
    <w:p>
      <w:r>
        <w:t>2.4. Гарантийный срок составляет 90 календарных дней с итоговой приемки. Исполнитель бесплатно исправляет воспроизводимые несоответствия согласованному ТЗ, вызванные его работой. Замечания заявляются с описанием, шагами и данными для воспроизведения; отсутствие технического опыта Заказчика не отменяет гарантию. Законные требования по скрытым недостаткам сохраняются.</w:t>
      </w:r>
    </w:p>
    <w:p>
      <w:r>
        <w:t>2.5. Новые функции, изменения внешнего API и последствия посторонних правок не входят в бесплатную гарантию лишь в той части, где подтверждена соответствующая причина. Исполнитель не вправе отменить гарантию на весь сайт из-за одной сторонней правки. Реакция и временные меры применяются по приложению 2; срок окончательного исправления согласуется по тяжести и сложности.</w:t>
      </w:r>
    </w:p>
    <w:p>
      <w:r>
        <w:t>2.6. Заказчик предоставляет лицензии и доступы к 1С, договор и ключи СДЭК, договор эквайринга, данные онлайн-кассы и законные материалы. Исполнитель проверяет техническую комплектность, реализует согласованные функции и помогает провести тесты. Само наличие интеграции не заменяет обязанностей продавца по оферте, персональным данным, чекам и сведениям о товарах.</w:t>
      </w:r>
    </w:p>
    <w:p>
      <w:pPr>
        <w:pStyle w:val="Heading1"/>
      </w:pPr>
      <w:r>
        <w:t>3 Порядок исполнения и взаимодействия</w:t>
      </w:r>
    </w:p>
    <w:p>
      <w:r>
        <w:t>3.1. Исполнитель приступает к согласованным работам после получения предусмотренной предоплаты, материалов и доступов. В течение двух рабочих дней он проверяет комплектность и направляет перечень недостающего. Устранение собственных ошибок Исполнителя не является дополнительной платной работой.</w:t>
      </w:r>
    </w:p>
    <w:p>
      <w:r>
        <w:t>3.2. Заказчик предоставляет достоверные сведения о продуктах, ценах, лицензиях и ограничениях, материалы с законными правами использования и согласования в течение трех рабочих дней. Молчание не означает согласия на публикацию нового материала, увеличение бюджета, изменение технического задания или KPI.</w:t>
      </w:r>
    </w:p>
    <w:p>
      <w:r>
        <w:t>3.3. Дополнительные работы выполняются после письменного согласования результата, цены и срока. Задержка со стороны Заказчика переносит только зависимые сроки на документально подтвержденный период задержки; Исполнитель сообщает о влиянии на график в течение двух рабочих дней. Пересмотр KPI оформляется на будущие периоды, без одностороннего изменения уже завершенного периода.</w:t>
      </w:r>
    </w:p>
    <w:p>
      <w:r>
        <w:t>3.4. Исполнитель вправе привлекать специалистов, сохраняя ответственность за их работу, конфиденциальность и получение прав на результаты. Доступ субподрядчика к персональным данным допускается только на условиях приложения 3. Отношения Сторон не являются трудовыми.</w:t>
      </w:r>
    </w:p>
    <w:p>
      <w:pPr>
        <w:pStyle w:val="Heading1"/>
      </w:pPr>
      <w:r>
        <w:t>4 Цена и расчеты</w:t>
      </w:r>
    </w:p>
    <w:p>
      <w:r>
        <w:t>4.1. Цена и график оплаты установлены в приложении 1. Каждая сумма указывается с налоговым статусом: цена с НДС [ставка] процентов, сумма НДС [сумма] рублей, либо без НДС с указанием законного основания [основание]. До заполнения этих полей цена считается несогласованной. Изменение налогового режима не дает права автоматически увеличить согласованную итоговую цену.</w:t>
      </w:r>
    </w:p>
    <w:p>
      <w:r>
        <w:t>4.2. Вознаграждение Исполнителя, рекламные расходы и услуги третьих лиц учитываются отдельно. По умолчанию Заказчик оплачивает площадки и внешние сервисы напрямую. Перечисление бюджета Исполнителю, агентские действия, закупка от его имени и комиссии посредников допускаются только по отдельному подписанному соглашению с порядком отчетности и возврата остатка.</w:t>
      </w:r>
    </w:p>
    <w:p>
      <w:r>
        <w:t>4.3. Расходы сверх утвержденных лимитов требуют предварительного письменного согласия Заказчика. Исполнитель не вправе финансировать их из другого бюджета без такого согласия. Неиспользованное вознаграждение возвращается после сверки по пункту 9.3; остатки на площадках возвращаются по их правилам при содействии Исполнителя.</w:t>
      </w:r>
    </w:p>
    <w:p>
      <w:r>
        <w:t>4.4. При просрочке оплаты более пяти рабочих дней Исполнитель вправе приостановить зависимые услуги, предупредив за два рабочих дня. Приостановка не позволяет удерживать аккаунты Заказчика, удалять данные или отключать уже оплаченный сайт. При выявлении незаконного размещения или угрозы безопасности Исполнитель незамедлительно останавливает затронутую операцию и уведомляет Заказчика.</w:t>
      </w:r>
    </w:p>
    <w:p>
      <w:pPr>
        <w:pStyle w:val="Heading1"/>
      </w:pPr>
      <w:r>
        <w:t>5 Отчетность и приемка</w:t>
      </w:r>
    </w:p>
    <w:p>
      <w:r>
        <w:t>5.1. Ежемесячно до пятого рабочего дня следующего месяца Исполнитель передает отчет и акт либо УПД, содержащий сведения о приемке. Отчет включает фактические работы и ссылки на результаты, план и факт показателей, расходы, выявленные проблемы и план следующего периода. Для этапов разработки применяется также порядок из приложения 1.</w:t>
      </w:r>
    </w:p>
    <w:p>
      <w:r>
        <w:t>5.2. В течение пяти рабочих дней после подтвержденного получения полного комплекта Заказчик подписывает акт или направляет мотивированные замечания с указанием нарушенного требования. Замечания к части работ не препятствуют приемке пригодной самостоятельной части и ее оплате. Срок исправления согласуется по SLA; повторная проверка занимает три рабочих дня.</w:t>
      </w:r>
    </w:p>
    <w:p>
      <w:r>
        <w:t>5.3. Если комплект доставлен на согласованный адрес или через ЭДО, доступен для проверки и мотивированные замечания в срок не поступили, соответствующие услуги считаются принятыми. Исполнитель сохраняет доказательства исполнения и доставки. Это условие не лишает Заказчика прав по скрытым недостаткам, не подтверждает неоказанные услуги и не заменяет обязательные документы учета.</w:t>
      </w:r>
    </w:p>
    <w:p>
      <w:pPr>
        <w:pStyle w:val="Heading1"/>
      </w:pPr>
      <w:r>
        <w:t>6 Аккаунты и права на результаты</w:t>
      </w:r>
    </w:p>
    <w:p>
      <w:r>
        <w:t>6.1. Договоры с площадками, домены, аккаунты, номера телефонов и адреса восстановления оформляются на Заказчика. Он сохраняет главный административный доступ, если сервис его предусматривает. Исполнитель получает отдельный доступ с минимально необходимыми правами и не меняет владельца либо способы восстановления без письменного поручения.</w:t>
      </w:r>
    </w:p>
    <w:p>
      <w:r>
        <w:t>6.2. В отношении оригинальных произведений, специально создаваемых по этому договору, Стороны устанавливают: исключительное право первоначально принадлежит Исполнителю и передается Заказчику в полном объеме с момента приемки и полной оплаты соответствующего результата. Результаты идентифицируются в акте названием, ссылкой, версией или архивом. Вознаграждение за передачу права составляет 5 процентов цены соответствующих работ и включено в нее; в акте указывается сумма. Передача действует на весь срок исключительного права без территориальных ограничений.</w:t>
      </w:r>
    </w:p>
    <w:p>
      <w:r>
        <w:t>6.3. До перехода исключительного права Заказчик получает простую безвозмездную лицензию для проверки результата и его согласованного использования в собственном проекте. После перехода права он вправе воспроизводить, размещать в интернете, перерабатывать и передавать результат третьим лицам. Исполнитель обеспечивает необходимые договоры с авторами и подрядчиками. Личные неимущественные права авторов сохраняются.</w:t>
      </w:r>
    </w:p>
    <w:p>
      <w:r>
        <w:t>6.4. Права на ранее созданные инструменты Исполнителя и сторонние компоненты не отчуждаются. Их перечень, правообладатели, лицензии, допустимые способы использования, срок, территория и стоимость фиксируются в приложении 1 до внедрения. Для собственных компонентов Исполнителя в составе результата предоставляется простая лицензия на весь срок исключительного права, на территории всех стран, с правом эксплуатации, копирования и доработки для проекта Заказчика; плата за нее составляет 1 процент цены соответствующих работ и включена в цену. Без согласованной лицензии компонент не внедряется.</w:t>
      </w:r>
    </w:p>
    <w:p>
      <w:r>
        <w:t>6.5. Результаты, исходники, настройки, рекламные кампании и выгрузки передаются в согласованных форматах. История аккаунта и его функциональность используются в пределах правил сервиса: Стороны не обещают передачу аккаунта, которую сервис запрещает. Публикация проекта в портфолио и использование наименования Заказчика допускаются только по его отдельному согласию.</w:t>
      </w:r>
    </w:p>
    <w:p>
      <w:pPr>
        <w:pStyle w:val="Heading1"/>
      </w:pPr>
      <w:r>
        <w:t>7 Конфиденциальность и персональные данные</w:t>
      </w:r>
    </w:p>
    <w:p>
      <w:r>
        <w:t>7.1. Стороны не раскрывают непубличные сведения о бизнесе, бюджетах, клиентах, доступах и технических решениях в течение договора и трех лет после его прекращения. Исключения: общедоступные сведения, законное независимое получение, согласие владельца или обязательное раскрытие по закону. Для персональных данных действуют законные сроки защиты.</w:t>
      </w:r>
    </w:p>
    <w:p>
      <w:r>
        <w:t>7.2. Если Исполнитель получает доступ к данным клиентов или пользователей, обработка начинается только после заполнения и подписания приложения 3. Заказчик определяет цели и правовые основания как оператор. Исполнитель действует по поручению, без использования данных для собственных рассылок, обучения моделей или продажи третьим лицам.</w:t>
      </w:r>
    </w:p>
    <w:p>
      <w:r>
        <w:t>7.3. Применяются индивидуальные доступы, разграничение прав, защищенная передача, журналирование действий и многофакторная аутентификация, когда она доступна. Данные, пароли и непубличные материалы не передаются во внешние ИИ-сервисы без отдельного законного основания и письменного согласования. Использование ИИ не уменьшает ответственность за качество и права на результат.</w:t>
      </w:r>
    </w:p>
    <w:p>
      <w:pPr>
        <w:pStyle w:val="Heading1"/>
      </w:pPr>
      <w:r>
        <w:t>8 Ответственность и качество</w:t>
      </w:r>
    </w:p>
    <w:p>
      <w:r>
        <w:t>8.1. Обязательные сроки, состав результатов и SLA подлежат исполнению. Рыночные показатели становятся обязательными только при заполнении подписанного плана с методикой и финансовым последствием. Отсутствие гарантии продаж не освобождает Исполнителя от согласованных работ, проверки настроек и ответственности за свои нарушения.</w:t>
      </w:r>
    </w:p>
    <w:p>
      <w:r>
        <w:t>8.2. За просрочку оплаты либо согласованного срока результата виновная Сторона уплачивает по письменному требованию неустойку 0,05 процента неоплаченной суммы либо цены просроченного результата за календарный день, не более 10 процентов соответствующей суммы. Нарушения SLA и KPI учитываются по приложениям; одно и то же нарушение не начисляется дважды как сервисный перерасчет.</w:t>
      </w:r>
    </w:p>
    <w:p>
      <w:r>
        <w:t>8.3. Доказанный несанкционированный перерасход, вызванный действиями Исполнителя, возмещается в полном объеме. За содержание предоставленных Заказчиком исходных сведений отвечает Заказчик; за собственные тексты, настройки и соблюдение порученных процедур отвечает Исполнитель. Утверждение материала не снимает ответственность за нарушение, о котором Исполнитель знал или должен был сообщить.</w:t>
      </w:r>
    </w:p>
    <w:p>
      <w:r>
        <w:t>8.4. Штрафы государственных органов не переводятся на другую Сторону договором. Документально подтвержденные убытки между Сторонами возмещаются в установленном законом порядке с учетом причины нарушения и обязанности уменьшить ущерб. Договор не освобождает от ответственности за умысел.</w:t>
      </w:r>
    </w:p>
    <w:p>
      <w:r>
        <w:t>8.5. Сбои площадок, изменения алгоритмов и действия третьих лиц фиксируются с доказательствами и планом мер. Они не признаются автоматически обстоятельствами непреодолимой силы. При таких обстоятельствах Сторона уведомляет другую в течение трех рабочих дней; денежные обязательства по уже исполненному сохраняются. Если препятствие длится более 30 календарных дней, Стороны согласуют прекращение затронутой части и расчеты.</w:t>
      </w:r>
    </w:p>
    <w:p>
      <w:pPr>
        <w:pStyle w:val="Heading1"/>
      </w:pPr>
      <w:r>
        <w:t>9 Срок действия и прекращение</w:t>
      </w:r>
    </w:p>
    <w:p>
      <w:r>
        <w:t>9.1. Договор действует с даты подписания до [дата], а в части расчетов, прав и конфиденциальности до исполнения соответствующих обязательств. Продление оформляется письменно.</w:t>
      </w:r>
    </w:p>
    <w:p>
      <w:r>
        <w:t>9.2. Заказчик вправе отказаться от незавершенных работ до сдачи результата, оплатив фактически выполненную часть по статье 717 ГК РФ. Стороны исключают взыскание упущенной выгоды только вследствие такого немотивированного отказа; документально подтвержденные прямые убытки компенсируются в пределах, установленных статьей 717, без повторного учета оплаченных работ. К самостоятельным услугам сопровождения применяется статья 782 ГК РФ. При существенном нарушении сохраняются предусмотренные законом способы защиты.</w:t>
      </w:r>
    </w:p>
    <w:p>
      <w:r>
        <w:t>9.3. В течение пяти рабочих дней после прекращения Исполнитель передает реестр работ, необходимые доступы, оплаченные исходники и выгрузки, отчет о расходах и акт сверки. Заказчик отзывает доступы Исполнителя. Неоспариваемый неотработанный аванс возвращается в течение десяти рабочих дней; спорная часть разрешается отдельно. Оплаченные результаты и доступ к ресурсам Заказчика не удерживаются в обеспечение спорного долга.</w:t>
      </w:r>
    </w:p>
    <w:p>
      <w:pPr>
        <w:pStyle w:val="Heading1"/>
      </w:pPr>
      <w:r>
        <w:t>10 Электронные документы и уведомления</w:t>
      </w:r>
    </w:p>
    <w:p>
      <w:r>
        <w:t>10.1. Договор, приложения, изменения цены, передача прав, акты и УПД подписываются на бумаге или через ЭДО с надлежащей электронной подписью. Оператор ЭДО [Диадок / СБИС / другой], идентификаторы Сторон [значения]. Изменение обязательств не происходит одним сообщением в чате.</w:t>
      </w:r>
    </w:p>
    <w:p>
      <w:r>
        <w:t>10.2. Согласованные адреса электронной почты из раздела 12 используются для юридически значимых уведомлений, претензий, отчетов и оперативного согласования в рамках уже утвержденного задания. Сообщение должно позволять установить отправителя; Стороны защищают учетные записи и сообщают о компрометации. Доставка определяется по статье 165.1 ГК РФ. Исполнитель хранит подтверждения отправки и доставки.</w:t>
      </w:r>
    </w:p>
    <w:p>
      <w:r>
        <w:t>10.3. Контакты в Telegram и системе задач используются для рабочих вопросов в пределах полномочий назначенных представителей. Круг полномочий: [лица и разрешенные согласования]. Договором не приравнивается любой пользователь чата к лицу, уполномоченному менять цену, бюджет и права.</w:t>
      </w:r>
    </w:p>
    <w:p>
      <w:pPr>
        <w:pStyle w:val="Heading1"/>
      </w:pPr>
      <w:r>
        <w:t>11 Споры и состав договора</w:t>
      </w:r>
    </w:p>
    <w:p>
      <w:r>
        <w:t>11.1. Применяется право Российской Федерации. Претензия направляется по разделу 10; срок ответа составляет 10 рабочих дней. Обращение в суд допускается после соблюдения обязательного либо согласованного досудебного порядка. Спор между ООО и ИП передается в Арбитражный суд города Санкт-Петербурга и Ленинградской области, кроме случаев исключительной подсудности.</w:t>
      </w:r>
    </w:p>
    <w:p>
      <w:r>
        <w:t>11.2. Приложения 1-4 являются неотъемлемой частью договора. Подписанное позднее дополнительное соглашение имеет преимущество в изменяемой части. Техническое задание и план имеют преимущество только для состава, срока, цены и методики конкретных работ; основные юридические условия изменяются при прямом указании на изменяемый пункт. Незаполненные поля не создают согласованного обязательства.</w:t>
      </w:r>
    </w:p>
    <w:p>
      <w:pPr>
        <w:pStyle w:val="Heading1"/>
      </w:pPr>
      <w:r>
        <w:t>12 Реквизиты и подписи</w:t>
      </w:r>
    </w:p>
    <w:tbl>
      <w:tblPr>
        <w:tblW w:type="auto" w:w="0"/>
        <w:jc w:val="center"/>
        <w:tblLayout w:type="fixed"/>
        <w:tblLook w:firstColumn="1" w:firstRow="1" w:lastColumn="0" w:lastRow="0" w:noHBand="0" w:noVBand="1" w:val="04A0"/>
      </w:tblPr>
      <w:tblGrid>
        <w:gridCol w:w="2143"/>
        <w:gridCol w:w="4657"/>
        <w:gridCol w:w="3400"/>
      </w:tblGrid>
      <w:tr>
        <w:trPr>
          <w:tblHeader w:val="true"/>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Реквизиты</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Исполнитель</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Заказчик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ООО «Гифтс-маркет»</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[Наименование / ФИО ИП]</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и КПП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7804703609 / 780401001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[ИНН / КПП, если есть]</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ОГРН или ОГРНИП</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1237800097512</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195267, Санкт-Петербург, Гражданский д. 118/1 -98</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 ВТБ (ПАО)</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[Банк]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Расчетный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40702810126610000804</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Корреспондентский счет</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30101810145250000411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[Счет]</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044525411</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[БИК]</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Email и телефон</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[Адрес]; [номер]</w:t>
            </w:r>
          </w:p>
        </w:tc>
      </w:tr>
      <w:tr>
        <w:trPr>
          <w:cantSplit/>
        </w:trPr>
        <w:tc>
          <w:tcPr>
            <w:tcW w:type="dxa" w:w="214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Идентификатор ЭДО</w:t>
            </w:r>
          </w:p>
        </w:tc>
        <w:tc>
          <w:tcPr>
            <w:tcW w:type="dxa" w:w="46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c>
          <w:tcPr>
            <w:tcW w:type="dxa" w:w="34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[Значение]</w:t>
            </w:r>
          </w:p>
        </w:tc>
      </w:tr>
    </w:tbl>
    <w:p>
      <w:pPr>
        <w:spacing w:after="0"/>
      </w:pPr>
    </w:p>
    <w:p>
      <w:pPr>
        <w:keepLines/>
      </w:pPr>
      <w:r>
        <w:t>От Исполнителя: [должность] __________________ / [ФИО] /</w:t>
        <w:br/>
        <w:t>От Заказчика: [должность] __________________ / [ФИО] /</w:t>
      </w:r>
    </w:p>
    <w:p>
      <w:pPr>
        <w:pStyle w:val="Heading1"/>
        <w:pageBreakBefore/>
      </w:pPr>
      <w:r>
        <w:t>Приложение 1 Техническое задание этапы и цена</w:t>
      </w:r>
    </w:p>
    <w:p>
      <w:r>
        <w:t>К договору № [номер] от [дата]. Проект [название]; тип [сайт / интернет-магазин]; домен [значение]; CMS и версия [значение]; репозиторий [адрес, владелец Заказчик]; хостинг и размещение баз [параметры]. Общая цена [сумма с НДС, ставка, сумма НДС]; срок [даты]. Внешние лицензии и сервисы оплачиваются отдельно только по заполненному реестру.</w:t>
      </w:r>
    </w:p>
    <w:tbl>
      <w:tblPr>
        <w:tblW w:type="auto" w:w="0"/>
        <w:jc w:val="center"/>
        <w:tblLayout w:type="fixed"/>
        <w:tblLook w:firstColumn="1" w:firstRow="1" w:lastColumn="0" w:lastRow="0" w:noHBand="0" w:noVBand="1" w:val="04A0"/>
      </w:tblPr>
      <w:tblGrid>
        <w:gridCol w:w="1848"/>
        <w:gridCol w:w="4287"/>
        <w:gridCol w:w="1183"/>
        <w:gridCol w:w="2883"/>
      </w:tblGrid>
      <w:tr>
        <w:trPr>
          <w:tblHeader w:val="true"/>
          <w:cantSplit/>
        </w:trPr>
        <w:tc>
          <w:tcPr>
            <w:tcW w:type="dxa" w:w="18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Этап</w:t>
            </w:r>
          </w:p>
        </w:tc>
        <w:tc>
          <w:tcPr>
            <w:tcW w:type="dxa" w:w="428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Результат и критерий</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Срок</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и оплата</w:t>
            </w:r>
          </w:p>
        </w:tc>
      </w:tr>
      <w:tr>
        <w:trPr>
          <w:cantSplit/>
        </w:trPr>
        <w:tc>
          <w:tcPr>
            <w:tcW w:type="dxa" w:w="18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Проектирование</w:t>
            </w:r>
          </w:p>
        </w:tc>
        <w:tc>
          <w:tcPr>
            <w:tcW w:type="dxa" w:w="428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[Структура, прототипы, согласованное ТЗ]</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аванс и остаток]</w:t>
            </w:r>
          </w:p>
        </w:tc>
      </w:tr>
      <w:tr>
        <w:trPr>
          <w:cantSplit/>
        </w:trPr>
        <w:tc>
          <w:tcPr>
            <w:tcW w:type="dxa" w:w="18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Дизайн</w:t>
            </w:r>
          </w:p>
        </w:tc>
        <w:tc>
          <w:tcPr>
            <w:tcW w:type="dxa" w:w="428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[Макеты страниц, состояния, адаптивные версии]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график]</w:t>
            </w:r>
          </w:p>
        </w:tc>
      </w:tr>
      <w:tr>
        <w:trPr>
          <w:cantSplit/>
        </w:trPr>
        <w:tc>
          <w:tcPr>
            <w:tcW w:type="dxa" w:w="18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Разработка</w:t>
            </w:r>
          </w:p>
        </w:tc>
        <w:tc>
          <w:tcPr>
            <w:tcW w:type="dxa" w:w="428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[CMS, страницы, формы, каталог, тестовая версия]</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график]</w:t>
            </w:r>
          </w:p>
        </w:tc>
      </w:tr>
      <w:tr>
        <w:trPr>
          <w:cantSplit/>
        </w:trPr>
        <w:tc>
          <w:tcPr>
            <w:tcW w:type="dxa" w:w="18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Интеграции и тесты</w:t>
            </w:r>
          </w:p>
        </w:tc>
        <w:tc>
          <w:tcPr>
            <w:tcW w:type="dxa" w:w="428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[1С, СДЭК, оплата, тестовые сценарии]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график]</w:t>
            </w:r>
          </w:p>
        </w:tc>
      </w:tr>
      <w:tr>
        <w:trPr>
          <w:cantSplit/>
        </w:trPr>
        <w:tc>
          <w:tcPr>
            <w:tcW w:type="dxa" w:w="184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Запуск и передача</w:t>
            </w:r>
          </w:p>
        </w:tc>
        <w:tc>
          <w:tcPr>
            <w:tcW w:type="dxa" w:w="428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[Рабочий сайт, исходники, инструкции, доступы]</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c>
          <w:tcPr>
            <w:tcW w:type="dxa" w:w="28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график]</w:t>
            </w:r>
          </w:p>
        </w:tc>
      </w:tr>
    </w:tbl>
    <w:p>
      <w:pPr>
        <w:spacing w:after="0"/>
      </w:pPr>
    </w:p>
    <w:p>
      <w:pPr>
        <w:pStyle w:val="Heading1"/>
      </w:pPr>
      <w:r>
        <w:t>Функции и ограничения</w:t>
      </w:r>
    </w:p>
    <w:p>
      <w:r>
        <w:t>1.1. Страницы и шаблоны [точный перечень]; языки [перечень]; дизайн [индивидуальный / шаблон и лицензия]; раунды правок дизайна [число]; наполнение [число страниц и карточек, кто предоставляет]. Каталог [категории, свойства, фильтры, поиск, варианты]; корзина [правила]; заказ [гость / личный кабинет]; уведомления [каналы и шаблоны]; управление [роли и функции].</w:t>
      </w:r>
    </w:p>
    <w:p>
      <w:r>
        <w:t>1.2. Поддерживаемые браузеры [названия и версии на дату сдачи]; ширина экранов [значения]; критерии доступности [перечень]. Нагрузка [одновременные пользователи и сценарий], объем каталога [число], параметры сервера [значение]. Производительность измеряется на [среда, данные, сеть, инструмент] по критерию [время или показатель]. Универсальный балл скорости без среды теста не применяется.</w:t>
      </w:r>
    </w:p>
    <w:p>
      <w:r>
        <w:t>1.3. Базовая безопасность: HTTPS, отсутствие секретов в публичном коде, разграничение административных прав, защита и валидация форм, безопасная работа с загрузками, ограничение повторных запросов, журнал ошибок без лишних персональных данных. Резервирование [состав, частота, хранение], восстановление [сценарий и ответственный]. Аналитика [счетчик и цели]. SEO при запуске [метаданные, robots, sitemap, редиректы]. Юридические тексты предоставляет [Заказчик / отдельный исполнитель].</w:t>
      </w:r>
    </w:p>
    <w:p>
      <w:pPr>
        <w:pStyle w:val="Heading1"/>
      </w:pPr>
      <w:r>
        <w:t>Интеграция с 1С</w:t>
      </w:r>
    </w:p>
    <w:p>
      <w:r>
        <w:t>1.4. Конфигурация и версия 1С [значения]; доработки базы [описание]; протокол [CommerceML / API / иной]; направление обмена [значение]; расписание [интервал]; идентификатор товара [поле]. Передаваются [номенклатура, характеристики, цены, остатки по складам, изображения, заказы, статусы]. Приоритет систем при конфликте [правило]; поведение при нулевом остатке [правило]; налоги и единицы измерения [значения].</w:t>
      </w:r>
    </w:p>
    <w:p>
      <w:r>
        <w:t>1.5. Изменения самой 1С выполняет [лицо], объем и цена [значения / не входят]. Сценарии приемки: создать и изменить товар в 1С, передать цену и остаток, обработать вариант товара, создать заказ на сайте и получить его в 1С, изменить согласованный статус, повторить обмен без дублирования, смоделировать обрыв и восстановление. Лог содержит ошибку и статус обработки; секреты не выводятся. Допустимая задержка [минуты].</w:t>
      </w:r>
    </w:p>
    <w:p>
      <w:pPr>
        <w:pStyle w:val="Heading1"/>
      </w:pPr>
      <w:r>
        <w:t>Интеграция со СДЭК и оплатой</w:t>
      </w:r>
    </w:p>
    <w:p>
      <w:r>
        <w:t>1.6. Версия API или модуля СДЭК [значение]; договор Заказчика [ID]; разрешенные виды доставки [курьер / пункты выдачи], регионы [перечень], тарифы [коды], параметры упаковки и веса [правило]. Функции [расчет, выбор ПВЗ, создание отправления, трек-номер, статусы, отмена — выбрать]. Стоимость и сроки показываются из сервиса с согласованным правилом надбавки [значение / отсутствует].</w:t>
      </w:r>
    </w:p>
    <w:p>
      <w:r>
        <w:t>1.7. Приемка СДЭК: расчет для контрольных адресов и ПВЗ, заказ с несколькими товарами и весом, создание тестового отправления без дубля при повторе запроса, получение статуса, отмена при наличии функции, обработка недоступности API. Если расчет невозможен, заказ не получает фиктивную бесплатную доставку; применяется [согласование менеджером / временный запрет оформления / иное]. Тесты [sandbox / согласованная тестовая схема без реальных расходов].</w:t>
      </w:r>
    </w:p>
    <w:p>
      <w:r>
        <w:t>1.8. Оплата [провайдер, способы]; онлайн-касса [оператор, модуль, ответственный]; фискализация [кто реализует, тесты чеков]; возврат [сценарии]. Приемка: успешная и отклоненная оплата, проверка подписи уведомления, повторное уведомление без двойного заказа, отмена или возврат, сопоставление суммы и статуса. Реальные списания и доставки требуют отдельного подтверждения. Если эквайринг или касса не входят, это прямо указывается: [перечень исключений].</w:t>
      </w:r>
    </w:p>
    <w:p>
      <w:pPr>
        <w:pStyle w:val="Heading1"/>
      </w:pPr>
      <w:r>
        <w:t>Приемка и изменение задания</w:t>
      </w:r>
    </w:p>
    <w:p>
      <w:r>
        <w:t>1.9. Этап проверяется пять рабочих дней после предоставления результата и протокола. Критические дефекты: невозможность основного сценария, потеря или раскрытие данных, неверная цена или сумма оплаты, некорректное создание заказов или отправлений. Перед запуском таких дефектов не должно быть. Остальные дефекты [допустимый перечень и сроки]. Исполнитель исправляет несоответствия ТЗ без доплаты и повторно передает результат; проверка исправленной части — три рабочих дня.</w:t>
      </w:r>
    </w:p>
    <w:p>
      <w:r>
        <w:t>1.10. Запрос на изменение содержит описание, причину и сценарий. Исполнитель направляет оценку влияния на цену, сроки, интеграции и приемку; выполнение начинается после подписания изменения. При несогласовании Исполнитель продолжает первоначальный объем, если он технически исполним. Ошибки, уже нарушающие ТЗ, не оформляются платными изменениями.</w:t>
      </w:r>
    </w:p>
    <w:p>
      <w:pPr>
        <w:pStyle w:val="Heading1"/>
      </w:pPr>
      <w:r>
        <w:t>Компоненты лицензии и передача</w:t>
      </w:r>
    </w:p>
    <w:tbl>
      <w:tblPr>
        <w:tblW w:type="auto" w:w="0"/>
        <w:jc w:val="center"/>
        <w:tblLayout w:type="fixed"/>
        <w:tblLook w:firstColumn="1" w:firstRow="1" w:lastColumn="0" w:lastRow="0" w:noHBand="0" w:noVBand="1" w:val="04A0"/>
      </w:tblPr>
      <w:tblGrid>
        <w:gridCol w:w="2957"/>
        <w:gridCol w:w="4804"/>
        <w:gridCol w:w="2439"/>
      </w:tblGrid>
      <w:tr>
        <w:trPr>
          <w:tblHeader w:val="true"/>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Компонент</w:t>
            </w:r>
          </w:p>
        </w:tc>
        <w:tc>
          <w:tcPr>
            <w:tcW w:type="dxa" w:w="48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Лицензия и ограничения</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и продление</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[CMS, модуль, шрифт, изображения]</w:t>
            </w:r>
          </w:p>
        </w:tc>
        <w:tc>
          <w:tcPr>
            <w:tcW w:type="dxa" w:w="48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[Правообладатель, вид, способы, срок, территория]</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[Цена, владелец лицензии]</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[Открытый компонент]</w:t>
            </w:r>
          </w:p>
        </w:tc>
        <w:tc>
          <w:tcPr>
            <w:tcW w:type="dxa" w:w="48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лицензии, уведомления, обязанности]</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[Бесплатно / расходы]</w:t>
            </w:r>
          </w:p>
        </w:tc>
      </w:tr>
      <w:tr>
        <w:trPr>
          <w:cantSplit/>
        </w:trPr>
        <w:tc>
          <w:tcPr>
            <w:tcW w:type="dxa" w:w="2957"/>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[Компонент Исполнителя]</w:t>
            </w:r>
          </w:p>
        </w:tc>
        <w:tc>
          <w:tcPr>
            <w:tcW w:type="dxa" w:w="4804"/>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[Перечень, версия, права по пункту 6.4]</w:t>
            </w:r>
          </w:p>
        </w:tc>
        <w:tc>
          <w:tcPr>
            <w:tcW w:type="dxa" w:w="243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[Включенная сумма]</w:t>
            </w:r>
          </w:p>
        </w:tc>
      </w:tr>
    </w:tbl>
    <w:p>
      <w:pPr>
        <w:spacing w:after="0"/>
      </w:pPr>
    </w:p>
    <w:p>
      <w:r>
        <w:t>1.11. Передаются: репозиторий и исходный код с историей согласованных версий, исходники дизайна [формат], схема и выгрузка базы в законном объеме, конфигурации без публичных секретов, инструкции сборки и развертывания, список зависимостей и лицензий, инструкции администратора, резервная копия и проверка восстановления, домен и доступы Заказчика, настройки аналитики, протоколы тестов. Передача закрытого сервиса ограничивается доступной выгрузкой и его лицензией; такие ограничения согласуются до выбора платформы.</w:t>
      </w:r>
    </w:p>
    <w:p>
      <w:r>
        <w:t xml:space="preserve">1.12. Размещение скрытых средств отключения сайта, посторонних сборщиков данных, неутвержденных внешних скриптов и функций удаленного управления запрещено. </w:t>
      </w:r>
    </w:p>
    <w:p>
      <w:pPr>
        <w:keepLines/>
      </w:pPr>
      <w:r>
        <w:t>От Исполнителя __________________ / [ФИО] /</w:t>
        <w:br/>
        <w:t>От Заказчика __________________ / [ФИО] /</w:t>
      </w:r>
    </w:p>
    <w:p>
      <w:pPr>
        <w:pStyle w:val="Heading1"/>
        <w:pageBreakBefore/>
      </w:pPr>
      <w:r>
        <w:t>Приложение 2 Регламент сервиса и отчетности</w:t>
      </w:r>
    </w:p>
    <w:p>
      <w:r>
        <w:t>К договору № [номер] от [дата]. Рабочее время: понедельник-пятница, 10:00-19:00 по Москве, кроме нерабочих праздничных дней РФ. Рабочий час учитывается только внутри этого интервала. Круглосуточное дежурство и выходные включаются исключительно по отдельному соглашению.</w:t>
      </w:r>
    </w:p>
    <w:tbl>
      <w:tblPr>
        <w:tblW w:type="auto" w:w="0"/>
        <w:jc w:val="center"/>
        <w:tblLayout w:type="fixed"/>
        <w:tblLook w:firstColumn="1" w:firstRow="1" w:lastColumn="0" w:lastRow="0" w:noHBand="0" w:noVBand="1" w:val="04A0"/>
      </w:tblPr>
      <w:tblGrid>
        <w:gridCol w:w="2809"/>
        <w:gridCol w:w="1700"/>
        <w:gridCol w:w="5691"/>
      </w:tblGrid>
      <w:tr>
        <w:trPr>
          <w:tblHeader w:val="true"/>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Обращение</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Реакция</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Действие и срок</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Критическое: неконтролируемый расход, утечка, недоступность сайта или оформление заказа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Временная остановка опасной операции или обходное решение в пределах контроля Исполнителя — до 4 рабочих часов; план восстановления — в тот же рабочий день</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Срочная правка утвержденного материала или цены</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Внесение в течение 1 рабочего дня при наличии полного задания и доступа</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Обычный вопрос или задача</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2 рабочих часов</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Оценка и согласованный срок — до 1 рабочего дня</w:t>
            </w:r>
          </w:p>
        </w:tc>
      </w:tr>
      <w:tr>
        <w:trPr>
          <w:cantSplit/>
        </w:trPr>
        <w:tc>
          <w:tcPr>
            <w:tcW w:type="dxa" w:w="2809"/>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Отчет и акт за месяц</w:t>
            </w:r>
          </w:p>
        </w:tc>
        <w:tc>
          <w:tcPr>
            <w:tcW w:type="dxa" w:w="170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 5-го рабочего дня следующего месяца</w:t>
            </w:r>
          </w:p>
        </w:tc>
        <w:tc>
          <w:tcPr>
            <w:tcW w:type="dxa" w:w="5691"/>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План и факт, расходы, результаты, проблемы, план работ</w:t>
            </w:r>
          </w:p>
        </w:tc>
      </w:tr>
    </w:tbl>
    <w:p>
      <w:pPr>
        <w:spacing w:after="0"/>
      </w:pPr>
    </w:p>
    <w:p>
      <w:r>
        <w:t>2.1. Реакция означает содержательное подтверждение, назначение ответственного и ближайшее действие; автоматический ответ не засчитывается. Заявки подаются на [адрес] и в [система задач]. Таймер начинается при доставке, а для заявок вне рабочего времени — в начале следующего рабочего интервала. Инцидент с персональными данными уведомляется по приложению 3 круглосуточно.</w:t>
      </w:r>
    </w:p>
    <w:p>
      <w:r>
        <w:t>2.2. Срок устранения зависит от причины. Если нужна площадка, хостинг или сведения Заказчика, Исполнитель сообщает, что именно требуется, и обновляет статус не реже одного рабочего дня. Ожидание внешнего ответа не останавливает срок первичной реакции. Неопределенный срок без плана и уведомления не допускается.</w:t>
      </w:r>
    </w:p>
    <w:p>
      <w:r>
        <w:t>2.3. За каждый подтвержденный случай нарушения срока реакции или установленного срока собственной правки вознаграждение за период уменьшается на 1 процент, суммарно не более 10 процентов. Случай фиксируется номером задачи, временем доставки, реакцией и фактическим исполнением. Одна задача дает один перерасчет по SLA. Это согласованная корректировка цены, не ограничивающая иные законные требования по самостоятельному ущербу.</w:t>
      </w:r>
    </w:p>
    <w:p>
      <w:r>
        <w:t>2.4. Перерасчет отражается в акте за текущий либо следующий период. Если следующий период отсутствует, излишне уплаченная сумма возвращается в течение десяти рабочих дней после согласования расчета. При споре оплачивается неоспариваемая часть; Стороны сопоставляют журналы в течение пяти рабочих дней.</w:t>
      </w:r>
    </w:p>
    <w:p>
      <w:r>
        <w:t>2.5. Отчет содержит описание каждой выполненной задачи, ссылку или файл результата, даты, план и факт KPI по единой методике, подтвержденные внешние расходы, причины отклонений и следующие действия. Отдельно раскрываются ошибки учета и изменения настроек. Заказчик имеет доступ к исходным данным и выгрузке, доступной по правилам сервиса.</w:t>
      </w:r>
    </w:p>
    <w:p>
      <w:r>
        <w:t>2.6. После гарантии сопровождение согласуется отдельно: [часы в месяц], [цена], [задачи], [учет часов], [период]. Неиспользованные часы [переносятся / не переносятся]. Платная поддержка не заменяет исправление гарантийных дефектов.</w:t>
      </w:r>
    </w:p>
    <w:p>
      <w:pPr>
        <w:keepLines/>
      </w:pPr>
      <w:r>
        <w:t>Ответственные: Исполнитель [ФИО, контакт]; Заказчик [ФИО, контакт].</w:t>
        <w:br/>
        <w:t>От Исполнителя __________________ / [ФИО] /</w:t>
        <w:br/>
        <w:t>От Заказчика __________________ / [ФИО] /</w:t>
      </w:r>
    </w:p>
    <w:p>
      <w:pPr>
        <w:pStyle w:val="Heading1"/>
        <w:pageBreakBefore/>
      </w:pPr>
      <w:r>
        <w:t>Приложение 3 Поручение обработки персональных данных</w:t>
      </w:r>
    </w:p>
    <w:p>
      <w:r>
        <w:t>К договору № [номер] от [дата]. Заказчик является оператором, Исполнитель — лицом, обрабатывающим персональные данные по поручению. Приложение заполняется и подписывается до доступа к реальным данным. Если такого доступа нет, Стороны указывают «не применяется» и используют обезличенные или тестовые сведения.</w:t>
      </w:r>
    </w:p>
    <w:tbl>
      <w:tblPr>
        <w:tblW w:type="auto" w:w="0"/>
        <w:jc w:val="center"/>
        <w:tblLayout w:type="fixed"/>
        <w:tblLook w:firstColumn="1" w:firstRow="1" w:lastColumn="0" w:lastRow="0" w:noHBand="0" w:noVBand="1" w:val="04A0"/>
      </w:tblPr>
      <w:tblGrid>
        <w:gridCol w:w="2365"/>
        <w:gridCol w:w="7835"/>
      </w:tblGrid>
      <w:tr>
        <w:trPr>
          <w:tblHeader w:val="true"/>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Параметр</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Согласованное значение</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Цели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[Учет обращений, аналитика рекламы, настройка CRM или тестирование сайта; указать конкретные цели]</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Субъекты</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[Клиенты, потенциальные клиенты, пользователи сайта; конкретизировать]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Данные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[Имя, телефон, email, идентификатор обращения, источник, заказ; оставить только необходимые поля]</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Операции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[Получение, запись, систематизация, хранение, уточнение, извлечение, использование, предоставление оператору, блокирование, удаление, уничтожение; уточнить]</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Системы и размещение</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[CRM, аналитика, хостинг, адреса систем, страна и место баз данных, владелец и перечень доступов]</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Срок обработки</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[Период договора или конкретный срок]; возврат и удаление по пункту 3.6</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Допущенные лица</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[Список сотрудников и согласованных субподрядчиков, их функции и системы]</w:t>
            </w:r>
          </w:p>
        </w:tc>
      </w:tr>
      <w:tr>
        <w:trPr>
          <w:cantSplit/>
        </w:trPr>
        <w:tc>
          <w:tcPr>
            <w:tcW w:type="dxa" w:w="23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Контакты для инцидентов</w:t>
            </w:r>
          </w:p>
        </w:tc>
        <w:tc>
          <w:tcPr>
            <w:tcW w:type="dxa" w:w="783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Заказчик [ФИО, телефон, email]; Исполнитель [ФИО, телефон, email]</w:t>
            </w:r>
          </w:p>
        </w:tc>
      </w:tr>
    </w:tbl>
    <w:p>
      <w:pPr>
        <w:spacing w:after="0"/>
      </w:pPr>
    </w:p>
    <w:p>
      <w:r>
        <w:t>3.1. Заказчик обеспечивает законные основания обработки и поручения, информирование субъектов, необходимые согласия и исполнение обязанностей оператора. Специальные категории и биометрические данные не поручаются. Исполнитель обрабатывает только перечисленные данные, цели и операции; самостоятельное профилирование и использование вне поручения запрещены.</w:t>
      </w:r>
    </w:p>
    <w:p>
      <w:r>
        <w:t>3.2. Исполнитель соблюдает конфиденциальность, требования части 5 статьи 18, статьи 18.1 и меры защиты по статье 19 Закона № 152-ФЗ применительно к порученным системам. Он устанавливает минимальные права, индивидуальные учетные записи, защищенные каналы, журнал доступа, обновление и контроль средств защиты, резервирование при порученном хранении, учет носителей и порядок удаления. Применимый уровень защищенности и распределение технических мер: [значение, ответственные и документ мер].</w:t>
      </w:r>
    </w:p>
    <w:p>
      <w:r>
        <w:t>3.3. До обработки и по запросу Заказчика в течение трех рабочих дней Исполнитель предоставляет документы, подтверждающие меры безопасности и соблюдение поручения. При сборе данных граждан РФ обеспечивается использование баз данных на территории РФ в установленном законом объеме. Трансграничная передача и подключение нового обработчика допускаются только после отдельного письменного согласования и выполнения законных процедур; одних согласований по этому договору недостаточно.</w:t>
      </w:r>
    </w:p>
    <w:p>
      <w:r>
        <w:t>3.4. Исполнитель сообщает Заказчику о неправомерном доступе, передаче или раскрытии, способном нарушить права субъектов, незамедлительно, не позднее четырех астрономических часов после обнаружения, включая выходные. Он направляет время, характер, категории данных, возможные последствия и принятые меры; уточнения — по мере получения. Материалы расследования предоставляются в срок, позволяющий оператору исполнить законные сроки уведомлений, включая 24 и 72 часа в применимых случаях. Само уведомление органа оператором не передается Исполнителю без отдельного поручения.</w:t>
      </w:r>
    </w:p>
    <w:p>
      <w:r>
        <w:t>3.5. Привлечение обработчика требует предварительного письменного согласия Заказчика, закрепления не менее строгих требований и перечня передаваемых данных. Исполнитель отвечает перед Заказчиком за согласованных обработчиков и обеспечивает исполнение запросов на блокирование, уточнение и удаление в сроки закона. Запрос субъекта передается оператору в течение одного рабочего дня без самостоятельного решения за него.</w:t>
      </w:r>
    </w:p>
    <w:p>
      <w:r>
        <w:t>3.6. При завершении поручения Исполнитель в течение пяти рабочих дней возвращает данные и удаляет рабочие копии, направляя подтверждение. Резервные копии изолируются от использования и удаляются в согласованный срок не более 30 календарных дней, если закон не требует более короткого срока. Законно обязательное хранение ограничивается необходимыми сведениями и сроком; о нем Исполнитель сообщает отдельно. Передаваемые документы учета не содержат избыточных данных клиентов.</w:t>
      </w:r>
    </w:p>
    <w:p>
      <w:pPr>
        <w:keepLines/>
      </w:pPr>
      <w:r>
        <w:t>От Исполнителя __________________ / [ФИО] /</w:t>
        <w:br/>
        <w:t>От Заказчика __________________ / [ФИО] /</w:t>
      </w:r>
    </w:p>
    <w:p>
      <w:pPr>
        <w:pStyle w:val="Heading1"/>
        <w:pageBreakBefore/>
      </w:pPr>
      <w:r>
        <w:t>Приложение 4 Формы приемки и передачи</w:t>
      </w:r>
    </w:p>
    <w:p>
      <w:pPr>
        <w:pStyle w:val="Heading1"/>
      </w:pPr>
      <w:r>
        <w:t>Акт приемки</w:t>
      </w:r>
    </w:p>
    <w:p>
      <w:r>
        <w:t>Акт № [номер] от [дата] к договору № [номер] от [дата]. Период / этап [значение]. Исполнитель ООО «Гифтс-маркет»; Заказчик [наименование].</w:t>
      </w:r>
    </w:p>
    <w:tbl>
      <w:tblPr>
        <w:tblW w:type="auto" w:w="0"/>
        <w:jc w:val="center"/>
        <w:tblLayout w:type="fixed"/>
        <w:tblLook w:firstColumn="1" w:firstRow="1" w:lastColumn="0" w:lastRow="0" w:noHBand="0" w:noVBand="1" w:val="04A0"/>
      </w:tblPr>
      <w:tblGrid>
        <w:gridCol w:w="5470"/>
        <w:gridCol w:w="1478"/>
        <w:gridCol w:w="3252"/>
      </w:tblGrid>
      <w:tr>
        <w:trPr>
          <w:tblHeader w:val="true"/>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Работы и идентификатор результата</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Цена с налоговым статусом</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r>
        <w:trPr>
          <w:cantSplit/>
        </w:trPr>
        <w:tc>
          <w:tcPr>
            <w:tcW w:type="dxa" w:w="5470"/>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[Название, ссылка, версия или архив]</w:t>
            </w:r>
          </w:p>
        </w:tc>
        <w:tc>
          <w:tcPr>
            <w:tcW w:type="dxa" w:w="1478"/>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[Объем]</w:t>
            </w:r>
          </w:p>
        </w:tc>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[Сумма и НДС]</w:t>
            </w:r>
          </w:p>
        </w:tc>
      </w:tr>
    </w:tbl>
    <w:p>
      <w:pPr>
        <w:spacing w:after="0"/>
      </w:pPr>
    </w:p>
    <w:p>
      <w:r>
        <w:t>Стоимость до корректировок [сумма] рублей; корректировка KPI [сумма] рублей; корректировка SLA [сумма] рублей; итог к оплате [сумма] рублей, в том числе НДС [ставка, сумма / законное основание отсутствия]. Вознаграждение за передачу исключительных прав 5 процентов цены соответствующих работ [сумма] рублей включено в итог; лицензия на собственные ранее созданные компоненты Исполнителя 1 процент [сумма, если применимо] включена в итог. Результаты, на которые переходят права: [перечень и идентификаторы].</w:t>
      </w:r>
    </w:p>
    <w:p>
      <w:r>
        <w:t>Результаты проверки [сценарии и протокол / ссылка на отчет]. Принято [полностью / в перечисленной части]. Недостатки и срок исправления [перечень / отсутствуют]. Сведения о переходе права определяются разделом 6 договора; права третьих лиц действуют по реестру компонентов. Подписание акта не лишает требований по скрытым недостаткам.</w:t>
      </w:r>
    </w:p>
    <w:p>
      <w:pPr>
        <w:keepLines/>
      </w:pPr>
      <w:r>
        <w:t>От Исполнителя __________________ / [ФИО] /</w:t>
        <w:br/>
        <w:t>От Заказчика __________________ / [ФИО] /</w:t>
      </w:r>
    </w:p>
    <w:p>
      <w:pPr>
        <w:pStyle w:val="Heading1"/>
      </w:pPr>
      <w:r>
        <w:t>Акт передачи ресурсов и материалов</w:t>
      </w:r>
    </w:p>
    <w:tbl>
      <w:tblPr>
        <w:tblW w:type="auto" w:w="0"/>
        <w:jc w:val="center"/>
        <w:tblLayout w:type="fixed"/>
        <w:tblLook w:firstColumn="1" w:firstRow="1" w:lastColumn="0" w:lastRow="0" w:noHBand="0" w:noVBand="1" w:val="04A0"/>
      </w:tblPr>
      <w:tblGrid>
        <w:gridCol w:w="3252"/>
        <w:gridCol w:w="5765"/>
        <w:gridCol w:w="1183"/>
      </w:tblGrid>
      <w:tr>
        <w:trPr>
          <w:tblHeader w:val="true"/>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Ресурс или материал</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Передача и проверка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shd w:fill="E7E7E7"/>
          </w:tcPr>
          <w:p>
            <w:pPr>
              <w:spacing w:after="20" w:line="240" w:lineRule="auto"/>
            </w:pPr>
            <w:r>
              <w:rPr>
                <w:b/>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[Кабинет, домен, CRM, аналитика]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[ID, роль владельца, роль Исполнителя, подтверждение доступа]</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[Исходники, отчеты, кампании, база]</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[Защищенная ссылка, формат, версия, контрольная сумма при необходимости]</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r>
        <w:trPr>
          <w:cantSplit/>
        </w:trPr>
        <w:tc>
          <w:tcPr>
            <w:tcW w:type="dxa" w:w="3252"/>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[Платный компонент или сервис]</w:t>
            </w:r>
          </w:p>
        </w:tc>
        <w:tc>
          <w:tcPr>
            <w:tcW w:type="dxa" w:w="5765"/>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[Лицензия, тариф, срок продления, кто оплачивает]</w:t>
            </w:r>
          </w:p>
        </w:tc>
        <w:tc>
          <w:tcPr>
            <w:tcW w:type="dxa" w:w="1183"/>
            <w:vAlign w:val="center"/>
            <w:tcBorders>
              <w:top w:val="single" w:sz="4" w:color="D9D9D9"/>
              <w:left w:val="single" w:sz="4" w:color="D9D9D9"/>
              <w:bottom w:val="single" w:sz="4" w:color="D9D9D9"/>
              <w:right w:val="single" w:sz="4" w:color="D9D9D9"/>
            </w:tcBorders>
            <w:tcMar>
              <w:top w:w="50" w:type="dxa"/>
              <w:left w:w="85" w:type="dxa"/>
              <w:bottom w:w="50" w:type="dxa"/>
              <w:right w:w="85" w:type="dxa"/>
            </w:tcMar>
          </w:tcPr>
          <w:p>
            <w:pPr>
              <w:spacing w:after="20" w:line="240" w:lineRule="auto"/>
            </w:pPr>
            <w:r>
              <w:rPr>
                <w:b w:val="0"/>
                <w:sz w:val="20"/>
              </w:rPr>
              <w:t>[Дата]</w:t>
            </w:r>
          </w:p>
        </w:tc>
      </w:tr>
    </w:tbl>
    <w:p>
      <w:pPr>
        <w:spacing w:after="0"/>
      </w:pPr>
    </w:p>
    <w:p>
      <w:r>
        <w:t>Пароли и токены передаются отдельным защищенным каналом и не включаются в акт. Заказчик проверил доступы [дата], сменил секреты и отозвал права Исполнителя [дата / не требуется]. Неиспользованный аванс [сумма]; расходы [сумма, подтверждения]; остаток у площадки [сумма и порядок возврата]. Возвращаемая сумма и срок [значения]. Передача ресурсов Заказчика не ставится в зависимость от спорного долга.</w:t>
      </w:r>
    </w:p>
    <w:p>
      <w:pPr>
        <w:keepLines/>
      </w:pPr>
      <w:r>
        <w:t>От Исполнителя __________________ / [ФИО] /</w:t>
        <w:br/>
        <w:t>От Заказчика __________________ / [ФИО] /</w:t>
      </w:r>
    </w:p>
    <w:sectPr w:rsidR="00FC693F" w:rsidRPr="0006063C" w:rsidSect="00034616">
      <w:footerReference w:type="default" r:id="rId9"/>
      <w:pgSz w:w="12240" w:h="15840"/>
      <w:pgMar w:top="1020" w:right="1020" w:bottom="1020" w:left="1020" w:header="340"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ООО «Гифтс-маркет»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80" w:line="245"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contextualSpacing/>
    </w:pPr>
    <w:rPr>
      <w:rFonts w:asciiTheme="majorHAnsi" w:eastAsiaTheme="majorEastAsia" w:hAnsiTheme="majorHAnsi" w:cstheme="majorBidi" w:ascii="Arial" w:hAnsi="Arial"/>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разработку сайта и интернет магазина</dc:title>
  <dc:subject>Договор с приложениями для заполнения и согласования</dc:subject>
  <dc:creator>ООО «Гифтс-маркет»</dc:creator>
  <cp:keywords/>
  <dc:description>generated by python-docx</dc:description>
  <cp:lastModifiedBy/>
  <cp:revision>1</cp:revision>
  <dcterms:created xsi:type="dcterms:W3CDTF">2013-12-23T23:15:00Z</dcterms:created>
  <dcterms:modified xsi:type="dcterms:W3CDTF">2013-12-23T23:15:00Z</dcterms:modified>
  <cp:category/>
</cp:coreProperties>
</file>