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на контекстную и таргетированную рекламу</w:t>
      </w:r>
    </w:p>
    <w:p>
      <w:r>
        <w:t>Договор № [номер]</w:t>
        <w:br/>
        <w:t>Санкт-Петербург                                  [дата]</w:t>
      </w:r>
    </w:p>
    <w:p>
      <w:r>
        <w:t>ООО «Гифтс-маркет», именуемое «Исполнитель», в лице [должность и ФИО], действующего на основании [Устава / доверенности с номером и датой], с одной стороны, и [полное наименование ООО / ФИО ИП], именуемое «Заказчик», в лице [должность и ФИО], действующего на основании [основание полномочий], с другой стороны, совместно именуемые «Стороны», заключили настоящий договор.</w:t>
      </w:r>
    </w:p>
    <w:p>
      <w:pPr>
        <w:pStyle w:val="Heading1"/>
      </w:pPr>
      <w:r>
        <w:t>1 Предмет договора</w:t>
      </w:r>
    </w:p>
    <w:p>
      <w:r>
        <w:t>1.1. Исполнитель оказывает услуги подготовки, настройки, ведения и оптимизации рекламы в Яндекс Директе, VK Рекламе и рекламных инструментах Авито для проекта [название, адрес сайта, товары или услуги]. Заказчик принимает и оплачивает услуги. Выбранные каналы, количество кампаний, материалы и пределы бюджета определяются приложением 1.</w:t>
      </w:r>
    </w:p>
    <w:p>
      <w:r>
        <w:t>1.2. Предмет включает конкретные работы и измерение результатов по согласованной методике. Перевод рекламных средств, производство фото и видео, разработка сайта, ответы клиентам и ведение продаж включаются только при прямом указании в приложении 1. Авито здесь охватывает рекламные размещения; постоянное ведение профиля и большого массива объявлений согласуется отдельным объемом.</w:t>
      </w:r>
    </w:p>
    <w:p>
      <w:pPr>
        <w:pStyle w:val="Heading1"/>
      </w:pPr>
      <w:r>
        <w:t>2 Работы и правила размещения</w:t>
      </w:r>
    </w:p>
    <w:p>
      <w:r>
        <w:t>2.1. Исполнитель проводит стартовый аудит, согласует медиаплан, проверяет цели аналитики, готовит объявления и структуру кампаний, настраивает аудитории, исключения и географию. После утверждения он запускает рекламу, контролирует расход, тестирует материалы и ведет журнал изменений.</w:t>
      </w:r>
    </w:p>
    <w:p>
      <w:r>
        <w:t>2.2. Контроль расхода проводится каждый рабочий день. В пределах утвержденного канала разрешена оптимизация ставок и распределения; перенос между каналами допускается в пределах [процент] процентов только при прямом разрешении в медиаплане. При угрозе превышения лимита Исполнитель останавливает затронутые кампании и уведомляет Заказчика по SLA.</w:t>
      </w:r>
    </w:p>
    <w:p>
      <w:r>
        <w:t>2.3. Заказчик является рекламодателем. Исполнитель выполняет согласованные действия по подготовке и ведению рекламы. До запуска в приложении 1 определяется цепочка договоров, оператор рекламных данных (ОРД), ответственные за получение идентификатора erid, пометку «реклама», сведения о рекламодателе и передачу данных в ЕРИР. Автоматическая передача площадкой проверяется; ее наличие не означает, что переданы сведения по всем посредническим договорам.</w:t>
      </w:r>
    </w:p>
    <w:p>
      <w:r>
        <w:t>2.4. Заказчик предоставляет реквизиты, основания использования материалов и необходимые разрешения до размещения. Исполнитель проверяет заполнение маркировки и организует передачу порученных сведений в законные сроки. Внутренний срок подготовки сведений о прошедшем месяце — до 20-го календарного дня следующего месяца; более короткие сроки ОРД и закона имеют преимущество. Подтверждения сохраняются вместе с отчетом.</w:t>
      </w:r>
    </w:p>
    <w:p>
      <w:r>
        <w:t>2.5. Обязательные отчисления по статье 18.2 Закона о рекламе исчисляет и уплачивает лицо, обязанное по закону с учетом фактической цепочки размещения. Собственные обязательные отчисления Исполнителя включены в согласованное вознаграждение. Автоматическая надбавка 3 процента ко всему бюджету не применяется. Тарифы площадок и ОРД согласуются отдельно; публично-правовая обязанность не переносится договором на Заказчика.</w:t>
      </w:r>
    </w:p>
    <w:p>
      <w:r>
        <w:t>2.6. Запрещены недостоверные сведения, имитация активности, покупка персональных данных без законного основания и способы обхода модерации. Исполнитель своевременно сообщает о рисках и исправляет собственные нарушения. Рекламные рассылки и обзвон не входят в предмет договора без отдельного задания и законных оснований.</w:t>
      </w:r>
    </w:p>
    <w:p>
      <w:pPr>
        <w:pStyle w:val="Heading1"/>
      </w:pPr>
      <w:r>
        <w:t>3 Порядок исполнения и взаимодействия</w:t>
      </w:r>
    </w:p>
    <w:p>
      <w:r>
        <w:t>3.1. Исполнитель приступает к согласованным работам после получения предусмотренной предоплаты, материалов и доступов. В течение двух рабочих дней он проверяет комплектность и направляет перечень недостающего. Устранение собственных ошибок Исполнителя не является дополнительной платной работой.</w:t>
      </w:r>
    </w:p>
    <w:p>
      <w:r>
        <w:t>3.2. Заказчик предоставляет достоверные сведения о продуктах, ценах, лицензиях и ограничениях, материалы с законными правами использования и согласования в течение трех рабочих дней. Молчание не означает согласия на публикацию нового материала, увеличение бюджета, изменение технического задания или KPI.</w:t>
      </w:r>
    </w:p>
    <w:p>
      <w:r>
        <w:t>3.3. Дополнительные работы выполняются после письменного согласования результата, цены и срока. Задержка со стороны Заказчика переносит только зависимые сроки на документально подтвержденный период задержки; Исполнитель сообщает о влиянии на график в течение двух рабочих дней. Пересмотр KPI оформляется на будущие периоды, без одностороннего изменения уже завершенного периода.</w:t>
      </w:r>
    </w:p>
    <w:p>
      <w:r>
        <w:t>3.4. Исполнитель вправе привлекать специалистов, сохраняя ответственность за их работу, конфиденциальность и получение прав на результаты. Доступ субподрядчика к персональным данным допускается только на условиях приложения 3. Отношения Сторон не являются трудовыми.</w:t>
      </w:r>
    </w:p>
    <w:p>
      <w:pPr>
        <w:pStyle w:val="Heading1"/>
      </w:pPr>
      <w:r>
        <w:t>4 Цена и расчеты</w:t>
      </w:r>
    </w:p>
    <w:p>
      <w:r>
        <w:t>4.1. Цена и график оплаты установлены в приложении 1. Каждая сумма указывается с налоговым статусом: цена с НДС [ставка] процентов, сумма НДС [сумма] рублей, либо без НДС с указанием законного основания [основание]. До заполнения этих полей цена считается несогласованной. Изменение налогового режима не дает права автоматически увеличить согласованную итоговую цену.</w:t>
      </w:r>
    </w:p>
    <w:p>
      <w:r>
        <w:t>4.2. Вознаграждение Исполнителя, рекламные расходы и услуги третьих лиц учитываются отдельно. По умолчанию Заказчик оплачивает площадки и внешние сервисы напрямую. Перечисление бюджета Исполнителю, агентские действия, закупка от его имени и комиссии посредников допускаются только по отдельному подписанному соглашению с порядком отчетности и возврата остатка.</w:t>
      </w:r>
    </w:p>
    <w:p>
      <w:r>
        <w:t>4.3. Расходы сверх утвержденных лимитов требуют предварительного письменного согласия Заказчика. Исполнитель не вправе финансировать их из другого бюджета без такого согласия. Неиспользованное вознаграждение возвращается после сверки по пункту 9.3; остатки на площадках возвращаются по их правилам при содействии Исполнителя.</w:t>
      </w:r>
    </w:p>
    <w:p>
      <w:r>
        <w:t>4.4. При просрочке оплаты более пяти рабочих дней Исполнитель вправе приостановить зависимые услуги, предупредив за два рабочих дня. Приостановка не позволяет удерживать аккаунты Заказчика, удалять данные или отключать уже оплаченный сайт. При выявлении незаконного размещения или угрозы безопасности Исполнитель незамедлительно останавливает затронутую операцию и уведомляет Заказчика.</w:t>
      </w:r>
    </w:p>
    <w:p>
      <w:pPr>
        <w:pStyle w:val="Heading1"/>
      </w:pPr>
      <w:r>
        <w:t>5 Отчетность и приемка</w:t>
      </w:r>
    </w:p>
    <w:p>
      <w:r>
        <w:t>5.1. Ежемесячно до пятого рабочего дня следующего месяца Исполнитель передает отчет и акт либо УПД, содержащий сведения о приемке. Отчет включает фактические работы и ссылки на результаты, план и факт показателей, расходы, выявленные проблемы и план следующего периода. Для этапов разработки применяется также порядок из приложения 1.</w:t>
      </w:r>
    </w:p>
    <w:p>
      <w:r>
        <w:t>5.2. В течение пяти рабочих дней после подтвержденного получения полного комплекта Заказчик подписывает акт или направляет мотивированные замечания с указанием нарушенного требования. Замечания к части работ не препятствуют приемке пригодной самостоятельной части и ее оплате. Срок исправления согласуется по SLA; повторная проверка занимает три рабочих дня.</w:t>
      </w:r>
    </w:p>
    <w:p>
      <w:r>
        <w:t>5.3. Если комплект доставлен на согласованный адрес или через ЭДО, доступен для проверки и мотивированные замечания в срок не поступили, соответствующие услуги считаются принятыми. Исполнитель сохраняет доказательства исполнения и доставки. Это условие не лишает Заказчика прав по скрытым недостаткам, не подтверждает неоказанные услуги и не заменяет обязательные документы учета.</w:t>
      </w:r>
    </w:p>
    <w:p>
      <w:pPr>
        <w:pStyle w:val="Heading1"/>
      </w:pPr>
      <w:r>
        <w:t>6 Аккаунты и права на результаты</w:t>
      </w:r>
    </w:p>
    <w:p>
      <w:r>
        <w:t>6.1. Договоры с площадками, домены, аккаунты, номера телефонов и адреса восстановления оформляются на Заказчика. Он сохраняет главный административный доступ, если сервис его предусматривает. Исполнитель получает отдельный доступ с минимально необходимыми правами и не меняет владельца либо способы восстановления без письменного поручения.</w:t>
      </w:r>
    </w:p>
    <w:p>
      <w:r>
        <w:t>6.2. В отношении оригинальных произведений, специально создаваемых по этому договору, Стороны устанавливают: исключительное право первоначально принадлежит Исполнителю и передается Заказчику в полном объеме с момента приемки и полной оплаты соответствующего результата. Результаты идентифицируются в акте названием, ссылкой, версией или архивом. Вознаграждение за передачу права составляет 5 процентов цены соответствующих работ и включено в нее; в акте указывается сумма. Передача действует на весь срок исключительного права без территориальных ограничений.</w:t>
      </w:r>
    </w:p>
    <w:p>
      <w:r>
        <w:t>6.3. До перехода исключительного права Заказчик получает простую безвозмездную лицензию для проверки результата и его согласованного использования в собственном проекте. После перехода права он вправе воспроизводить, размещать в интернете, перерабатывать и передавать результат третьим лицам. Исполнитель обеспечивает необходимые договоры с авторами и подрядчиками. Личные неимущественные права авторов сохраняются.</w:t>
      </w:r>
    </w:p>
    <w:p>
      <w:r>
        <w:t>6.4. Права на ранее созданные инструменты Исполнителя и сторонние компоненты не отчуждаются. Их перечень, правообладатели, лицензии, допустимые способы использования, срок, территория и стоимость фиксируются в приложении 1 до внедрения. Для собственных компонентов Исполнителя в составе результата предоставляется простая лицензия на весь срок исключительного права, на территории всех стран, с правом эксплуатации, копирования и доработки для проекта Заказчика; плата за нее составляет 1 процент цены соответствующих работ и включена в цену. Без согласованной лицензии компонент не внедряется.</w:t>
      </w:r>
    </w:p>
    <w:p>
      <w:r>
        <w:t>6.5. Результаты, исходники, настройки, рекламные кампании и выгрузки передаются в согласованных форматах. История аккаунта и его функциональность используются в пределах правил сервиса: Стороны не обещают передачу аккаунта, которую сервис запрещает. Публикация проекта в портфолио и использование наименования Заказчика допускаются только по его отдельному согласию.</w:t>
      </w:r>
    </w:p>
    <w:p>
      <w:pPr>
        <w:pStyle w:val="Heading1"/>
      </w:pPr>
      <w:r>
        <w:t>7 Конфиденциальность и персональные данные</w:t>
      </w:r>
    </w:p>
    <w:p>
      <w:r>
        <w:t>7.1. Стороны не раскрывают непубличные сведения о бизнесе, бюджетах, клиентах, доступах и технических решениях в течение договора и трех лет после его прекращения. Исключения: общедоступные сведения, законное независимое получение, согласие владельца или обязательное раскрытие по закону. Для персональных данных действуют законные сроки защиты.</w:t>
      </w:r>
    </w:p>
    <w:p>
      <w:r>
        <w:t>7.2. Если Исполнитель получает доступ к данным клиентов или пользователей, обработка начинается только после заполнения и подписания приложения 3. Заказчик определяет цели и правовые основания как оператор. Исполнитель действует по поручению, без использования данных для собственных рассылок, обучения моделей или продажи третьим лицам.</w:t>
      </w:r>
    </w:p>
    <w:p>
      <w:r>
        <w:t>7.3. Применяются индивидуальные доступы, разграничение прав, защищенная передача, журналирование действий и многофакторная аутентификация, когда она доступна. Данные, пароли и непубличные материалы не передаются во внешние ИИ-сервисы без отдельного законного основания и письменного согласования. Использование ИИ не уменьшает ответственность за качество и права на результат.</w:t>
      </w:r>
    </w:p>
    <w:p>
      <w:pPr>
        <w:pStyle w:val="Heading1"/>
      </w:pPr>
      <w:r>
        <w:t>8 Ответственность и качество</w:t>
      </w:r>
    </w:p>
    <w:p>
      <w:r>
        <w:t>8.1. Обязательные сроки, состав результатов и SLA подлежат исполнению. Рыночные показатели становятся обязательными только при заполнении подписанного плана с методикой и финансовым последствием. Отсутствие гарантии продаж не освобождает Исполнителя от согласованных работ, проверки настроек и ответственности за свои нарушения.</w:t>
      </w:r>
    </w:p>
    <w:p>
      <w:r>
        <w:t>8.2. За просрочку оплаты либо согласованного срока результата виновная Сторона уплачивает по письменному требованию неустойку 0,05 процента неоплаченной суммы либо цены просроченного результата за календарный день, не более 10 процентов соответствующей суммы. Нарушения SLA и KPI учитываются по приложениям; одно и то же нарушение не начисляется дважды как сервисный перерасчет.</w:t>
      </w:r>
    </w:p>
    <w:p>
      <w:r>
        <w:t>8.3. Доказанный несанкционированный перерасход, вызванный действиями Исполнителя, возмещается в полном объеме. За содержание предоставленных Заказчиком исходных сведений отвечает Заказчик; за собственные тексты, настройки и соблюдение порученных процедур отвечает Исполнитель. Утверждение материала не снимает ответственность за нарушение, о котором Исполнитель знал или должен был сообщить.</w:t>
      </w:r>
    </w:p>
    <w:p>
      <w:r>
        <w:t>8.4. Штрафы государственных органов не переводятся на другую Сторону договором. Документально подтвержденные убытки между Сторонами возмещаются в установленном законом порядке с учетом причины нарушения и обязанности уменьшить ущерб. Договор не освобождает от ответственности за умысел.</w:t>
      </w:r>
    </w:p>
    <w:p>
      <w:r>
        <w:t>8.5. Сбои площадок, изменения алгоритмов и действия третьих лиц фиксируются с доказательствами и планом мер. Они не признаются автоматически обстоятельствами непреодолимой силы. При таких обстоятельствах Сторона уведомляет другую в течение трех рабочих дней; денежные обязательства по уже исполненному сохраняются. Если препятствие длится более 30 календарных дней, Стороны согласуют прекращение затронутой части и расчеты.</w:t>
      </w:r>
    </w:p>
    <w:p>
      <w:pPr>
        <w:pStyle w:val="Heading1"/>
      </w:pPr>
      <w:r>
        <w:t>9 Срок действия и прекращение</w:t>
      </w:r>
    </w:p>
    <w:p>
      <w:r>
        <w:t>9.1. Договор действует с даты подписания до [дата], а в части расчетов, прав и конфиденциальности до исполнения соответствующих обязательств. Продление оформляется письменно.</w:t>
      </w:r>
    </w:p>
    <w:p>
      <w:r>
        <w:t>9.2. Для планового завершения Стороны направляют уведомление за 14 календарных дней. Этот срок не ограничивает право Заказчика отказаться от услуг ранее по статье 782 ГК РФ. При отказе оплачиваются фактически оказанные услуги и подтвержденные расходы, не включенные в их цену; плата за оставшийся срок и штраф за отказ не начисляются. Немотивированный отказ Исполнителя допускается при полном возмещении Заказчику убытков по статье 782 ГК РФ.</w:t>
      </w:r>
    </w:p>
    <w:p>
      <w:r>
        <w:t>9.3. В течение пяти рабочих дней после прекращения Исполнитель передает реестр работ, необходимые доступы, оплаченные исходники и выгрузки, отчет о расходах и акт сверки. Заказчик отзывает доступы Исполнителя. Неоспариваемый неотработанный аванс возвращается в течение десяти рабочих дней; спорная часть разрешается отдельно. Оплаченные результаты и доступ к ресурсам Заказчика не удерживаются в обеспечение спорного долга.</w:t>
      </w:r>
    </w:p>
    <w:p>
      <w:pPr>
        <w:pStyle w:val="Heading1"/>
      </w:pPr>
      <w:r>
        <w:t>10 Электронные документы и уведомления</w:t>
      </w:r>
    </w:p>
    <w:p>
      <w:r>
        <w:t>10.1. Договор, приложения, изменения цены, передача прав, акты и УПД подписываются на бумаге или через ЭДО с надлежащей электронной подписью. Оператор ЭДО [Диадок / СБИС / другой], идентификаторы Сторон [значения]. Изменение обязательств не происходит одним сообщением в чате.</w:t>
      </w:r>
    </w:p>
    <w:p>
      <w:r>
        <w:t>10.2. Согласованные адреса электронной почты из раздела 12 используются для юридически значимых уведомлений, претензий, отчетов и оперативного согласования в рамках уже утвержденного задания. Сообщение должно позволять установить отправителя; Стороны защищают учетные записи и сообщают о компрометации. Доставка определяется по статье 165.1 ГК РФ. Исполнитель хранит подтверждения отправки и доставки.</w:t>
      </w:r>
    </w:p>
    <w:p>
      <w:r>
        <w:t>10.3. Контакты в Telegram и системе задач используются для рабочих вопросов в пределах полномочий назначенных представителей. Круг полномочий: [лица и разрешенные согласования]. Договором не приравнивается любой пользователь чата к лицу, уполномоченному менять цену, бюджет и права.</w:t>
      </w:r>
    </w:p>
    <w:p>
      <w:pPr>
        <w:pStyle w:val="Heading1"/>
      </w:pPr>
      <w:r>
        <w:t>11 Споры и состав договора</w:t>
      </w:r>
    </w:p>
    <w:p>
      <w:r>
        <w:t>11.1. Применяется право Российской Федерации. Претензия направляется по разделу 10; срок ответа составляет 10 рабочих дней. Обращение в суд допускается после соблюдения обязательного либо согласованного досудебного порядка. Спор между ООО и ИП передается в Арбитражный суд города Санкт-Петербурга и Ленинградской области, кроме случаев исключительной подсудности.</w:t>
      </w:r>
    </w:p>
    <w:p>
      <w:r>
        <w:t>11.2. Приложения 1-4 являются неотъемлемой частью договора. Подписанное позднее дополнительное соглашение имеет преимущество в изменяемой части. Техническое задание и план имеют преимущество только для состава, срока, цены и методики конкретных работ; основные юридические условия изменяются при прямом указании на изменяемый пункт. Незаполненные поля не создают согласованного обязательства.</w:t>
      </w:r>
    </w:p>
    <w:p>
      <w:pPr>
        <w:pStyle w:val="Heading1"/>
      </w:pPr>
      <w:r>
        <w:t>12 Реквизиты и подписи</w:t>
      </w:r>
    </w:p>
    <w:tbl>
      <w:tblPr>
        <w:tblW w:type="auto" w:w="0"/>
        <w:jc w:val="center"/>
        <w:tblLayout w:type="fixed"/>
        <w:tblLook w:firstColumn="1" w:firstRow="1" w:lastColumn="0" w:lastRow="0" w:noHBand="0" w:noVBand="1" w:val="04A0"/>
      </w:tblPr>
      <w:tblGrid>
        <w:gridCol w:w="2143"/>
        <w:gridCol w:w="4657"/>
        <w:gridCol w:w="3400"/>
      </w:tblGrid>
      <w:tr>
        <w:trPr>
          <w:tblHeader w:val="true"/>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Реквизиты</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Исполнитель</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Заказчик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ООО «Гифтс-маркет»</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 / ФИО ИП]</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и КПП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7804703609 / 780401001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 КПП, если есть]</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ОГРН или ОГРНИП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1237800097512</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195267, Санкт-Петербург, Гражданский д. 118/1 -98</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 ВТБ (ПАО)</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Расчетный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40702810126610000804</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Корреспондентский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30101810145250000411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044525411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Email и телефон</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Идентификатор ЭДО</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bl>
    <w:p>
      <w:pPr>
        <w:spacing w:after="0"/>
      </w:pPr>
    </w:p>
    <w:p>
      <w:pPr>
        <w:keepLines/>
      </w:pPr>
      <w:r>
        <w:t>От Исполнителя: [должность] __________________ / [ФИО] /</w:t>
        <w:br/>
        <w:t>От Заказчика: [должность] __________________ / [ФИО] /</w:t>
      </w:r>
    </w:p>
    <w:p>
      <w:pPr>
        <w:pStyle w:val="Heading1"/>
        <w:pageBreakBefore/>
      </w:pPr>
      <w:r>
        <w:t>Приложение 1 Работы медиаплан и показатели</w:t>
      </w:r>
    </w:p>
    <w:p>
      <w:r>
        <w:t>К договору № [номер] от [дата]. Проект [название]; период [даты]; география [регионы]; продукт [описание]; посадочные страницы [URL]. Старт после проверки целей [дата]. Вознаграждение за запуск [сумма с НДС]; ежемесячное F [сумма с НДС]. Оплата: [процент] процентов до начала периода, остаток [срок]. Тестовый период [даты].</w:t>
      </w:r>
    </w:p>
    <w:tbl>
      <w:tblPr>
        <w:tblW w:type="auto" w:w="0"/>
        <w:jc w:val="center"/>
        <w:tblLayout w:type="fixed"/>
        <w:tblLook w:firstColumn="1" w:firstRow="1" w:lastColumn="0" w:lastRow="0" w:noHBand="0" w:noVBand="1" w:val="04A0"/>
      </w:tblPr>
      <w:tblGrid>
        <w:gridCol w:w="1626"/>
        <w:gridCol w:w="3843"/>
        <w:gridCol w:w="2439"/>
        <w:gridCol w:w="2291"/>
      </w:tblGrid>
      <w:tr>
        <w:trPr>
          <w:tblHeader w:val="true"/>
          <w:cantSplit/>
        </w:trPr>
        <w:tc>
          <w:tcPr>
            <w:tcW w:type="dxa" w:w="16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Канал</w:t>
            </w:r>
          </w:p>
        </w:tc>
        <w:tc>
          <w:tcPr>
            <w:tcW w:type="dxa" w:w="38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 работ за месяц</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Лимит расходов</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Часть F</w:t>
            </w:r>
          </w:p>
        </w:tc>
      </w:tr>
      <w:tr>
        <w:trPr>
          <w:cantSplit/>
        </w:trPr>
        <w:tc>
          <w:tcPr>
            <w:tcW w:type="dxa" w:w="16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Яндекс Директ</w:t>
            </w:r>
          </w:p>
        </w:tc>
        <w:tc>
          <w:tcPr>
            <w:tcW w:type="dxa" w:w="38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[Кампании, группы, объявления, тесты]</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учет НДС]</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r>
        <w:trPr>
          <w:cantSplit/>
        </w:trPr>
        <w:tc>
          <w:tcPr>
            <w:tcW w:type="dxa" w:w="16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VK Реклама</w:t>
            </w:r>
          </w:p>
        </w:tc>
        <w:tc>
          <w:tcPr>
            <w:tcW w:type="dxa" w:w="38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[Кампании, аудитории, креативы, тесты]</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учет НДС]</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r>
        <w:trPr>
          <w:cantSplit/>
        </w:trPr>
        <w:tc>
          <w:tcPr>
            <w:tcW w:type="dxa" w:w="162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Авито</w:t>
            </w:r>
          </w:p>
        </w:tc>
        <w:tc>
          <w:tcPr>
            <w:tcW w:type="dxa" w:w="38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[Размещения и рекламные инструменты]</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учет НДС]</w:t>
            </w:r>
          </w:p>
        </w:tc>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w:t>
            </w:r>
          </w:p>
        </w:tc>
      </w:tr>
    </w:tbl>
    <w:p>
      <w:pPr>
        <w:spacing w:after="0"/>
      </w:pPr>
    </w:p>
    <w:p>
      <w:r>
        <w:t>1.1. Внешние расходы сверх рекламного размещения: ОРД [лимит], коллтрекинг [лимит], производство материалов [лимит]. Общий предел [сумма] рублей. Оплата площадкам прямая Заказчиком. Правило переноса бюджета [запрещен / разрешен в указанном пределе]. Сумма частей F по каналам равна месячному вознаграждению.</w:t>
      </w:r>
    </w:p>
    <w:tbl>
      <w:tblPr>
        <w:tblW w:type="auto" w:w="0"/>
        <w:jc w:val="center"/>
        <w:tblLayout w:type="fixed"/>
        <w:tblLook w:firstColumn="1" w:firstRow="1" w:lastColumn="0" w:lastRow="0" w:noHBand="0" w:noVBand="1" w:val="04A0"/>
      </w:tblPr>
      <w:tblGrid>
        <w:gridCol w:w="2661"/>
        <w:gridCol w:w="1922"/>
        <w:gridCol w:w="2883"/>
        <w:gridCol w:w="2735"/>
      </w:tblGrid>
      <w:tr>
        <w:trPr>
          <w:tblHeader w:val="true"/>
          <w:cantSplit/>
        </w:trPr>
        <w:tc>
          <w:tcPr>
            <w:tcW w:type="dxa" w:w="266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Канал и период</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Лиды минимум</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Коридор CPL</w:t>
            </w:r>
          </w:p>
        </w:tc>
        <w:tc>
          <w:tcPr>
            <w:tcW w:type="dxa" w:w="27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Статус KPI</w:t>
            </w:r>
          </w:p>
        </w:tc>
      </w:tr>
      <w:tr>
        <w:trPr>
          <w:cantSplit/>
        </w:trPr>
        <w:tc>
          <w:tcPr>
            <w:tcW w:type="dxa" w:w="266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Яндекс Директ [период]</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[Количество]</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[Нижняя–верхняя граница] рублей</w:t>
            </w:r>
          </w:p>
        </w:tc>
        <w:tc>
          <w:tcPr>
            <w:tcW w:type="dxa" w:w="27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r>
        <w:trPr>
          <w:cantSplit/>
        </w:trPr>
        <w:tc>
          <w:tcPr>
            <w:tcW w:type="dxa" w:w="266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VK Реклама [период]</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[Количество]</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[Нижняя–верхняя граница] рублей</w:t>
            </w:r>
          </w:p>
        </w:tc>
        <w:tc>
          <w:tcPr>
            <w:tcW w:type="dxa" w:w="27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r>
        <w:trPr>
          <w:cantSplit/>
        </w:trPr>
        <w:tc>
          <w:tcPr>
            <w:tcW w:type="dxa" w:w="266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Авито [период]</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[Количество]</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[Нижняя–верхняя граница] рублей</w:t>
            </w:r>
          </w:p>
        </w:tc>
        <w:tc>
          <w:tcPr>
            <w:tcW w:type="dxa" w:w="27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bl>
    <w:p>
      <w:pPr>
        <w:spacing w:after="0"/>
      </w:pPr>
    </w:p>
    <w:p>
      <w:r>
        <w:t>1.2. Лид — уникальное обращение с подтвержденным интересом к согласованному продукту, рабочим способом связи и соответствием географии [критерии]. Контакты площадки без проверки интереса не равны квалифицированным лидам. Дубликаты одного лица по одному продукту в течение 30 календарных дней, спам, тесты и обращения вне согласованной географии исключаются по реестру. Повторная заявка существующего клиента [включается / исключается]. Потеря продажи после принятого целевого обращения не исключает лид.</w:t>
      </w:r>
    </w:p>
    <w:p>
      <w:r>
        <w:t>1.3. CPL = фактические расходы канала на размещение / число квалифицированных лидов канала за согласованный период. По умолчанию учитывается сумма списаний с НДС, без вознаграждения Исполнителя и внешних сервисов; иной режим [указать]. Нижняя граница коридора является ориентиром, а верхняя — пределом при обязательном статусе. Источник расходов [кабинет и отчет]; источник лидов [CRM и идентификаторы целей]. Атрибуция [модель], окно [дни], дата учета [дата обращения], часовой пояс Москва. При нуле лидов CPL не имеет числового значения; применяются правила пункта 1.5.</w:t>
      </w:r>
    </w:p>
    <w:p>
      <w:r>
        <w:t>1.4. Статус каждого KPI указывается в таблице как «обязательный» или «плановый». До подписания методики, цели, периода и финансового последствия показатель является плановым. Минимальные объемы и пределы стоимости для обязательного KPI должны быть больше нуля. Период запуска и накопления данных: [даты]; в нем обязательны работы и SLA, а рыночные KPI остаются плановыми. Отсутствие гарантии конкретной продажи не отменяет обязательный KPI.</w:t>
      </w:r>
    </w:p>
    <w:p>
      <w:r>
        <w:t>1.5. При невыполнении обязательного KPI и соблюдении согласованных условий применяется корректировка части вознаграждения F, закрепленной за показателем: K = min(30 процентов × F; F × D). Для минимального объема D = max(0; 1 − факт / план). Для верхнего предела стоимости D = max(0; 1 − предел / факт). При нулевом факте лидов и положительном расходе D по CPL принимается равным 1; при нулевом расходе применяется показатель объема и проверка причины отсутствия запуска. Для одного набора лидов объем и CPL не дают двойного перерасчета: применяется большее значение. По независимым наборам корректировки суммируются, но не выше 30 процентов месячного вознаграждения.</w:t>
      </w:r>
    </w:p>
    <w:p>
      <w:r>
        <w:t>1.6. Корректировка по KPI вместе с корректировкой SLA не превышает 40 процентов вознаграждения за период и не затрагивает рекламный бюджет. Она оформляется снижением цены, возвратом переплаты или зачетом по выбору Заказчика. Невыполненная предусмотренная работа оплачивается только в реально исполненной части независимо от этого предела. Исправление ошибок и план оптимизации предоставляются без доплаты.</w:t>
      </w:r>
    </w:p>
    <w:p>
      <w:r>
        <w:t>1.7. Условия измерения: доступность сайта и товара, неизменность согласованного предложения, обеспеченный бюджет, исправные средства учета и исполнение согласований Заказчиком. Исключаются только документально подтвержденные периоды или данные, на которые повлияло конкретное нарушение условия. Исполнитель направляет уведомление и расчет влияния в течение двух рабочих дней после обнаружения; ссылка на сезонность или алгоритмы без доказательств не исключает период. Полное исключение месячного KPI требует двустороннего согласования либо разрешения спора.</w:t>
      </w:r>
    </w:p>
    <w:p>
      <w:r>
        <w:t>1.8. Результаты и первичная выгрузка предоставляются вместе с отчетом. Заказчик в течение пяти рабочих дней указывает спорные записи с причиной; Исполнитель отвечает в течение трех рабочих дней. Изменение правил квалификации задним числом не допускается. Финальный расчет отражается в акте либо отдельном расчете корректировки.</w:t>
      </w:r>
    </w:p>
    <w:p>
      <w:pPr>
        <w:pStyle w:val="Heading1"/>
      </w:pPr>
      <w:r>
        <w:t>Распределение задач по маркировке</w:t>
      </w:r>
    </w:p>
    <w:tbl>
      <w:tblPr>
        <w:tblW w:type="auto" w:w="0"/>
        <w:jc w:val="center"/>
        <w:tblLayout w:type="fixed"/>
        <w:tblLook w:firstColumn="1" w:firstRow="1" w:lastColumn="0" w:lastRow="0" w:noHBand="0" w:noVBand="1" w:val="04A0"/>
      </w:tblPr>
      <w:tblGrid>
        <w:gridCol w:w="3104"/>
        <w:gridCol w:w="7096"/>
      </w:tblGrid>
      <w:tr>
        <w:trPr>
          <w:tblHeader w:val="true"/>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Операция</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Ответственный и подтверждение</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 рекламодателя и цепочка договоров</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предоставляет; Исполнитель проверяет заполнение. ОРД [название], договоры и роли [перечень]</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erid и размещение маркировки</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 / площадка; выбрать по фактической схеме]. Подтверждение [ссылка или выгрузка]</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Передача актов, статистики и распределения сумм по договорам</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[Ответственный по каждому договору]. Проверка до 20-го числа; законные сроки имеют преимущество</w:t>
            </w:r>
          </w:p>
        </w:tc>
      </w:tr>
      <w:tr>
        <w:trPr>
          <w:cantSplit/>
        </w:trPr>
        <w:tc>
          <w:tcPr>
            <w:tcW w:type="dxa" w:w="31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Обязательные отчисления и тариф ОРД</w:t>
            </w:r>
          </w:p>
        </w:tc>
        <w:tc>
          <w:tcPr>
            <w:tcW w:type="dxa" w:w="70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[Законный плательщик и основание]. Собственные отчисления Исполнителя включены в цену; внешние тарифы [лимит]</w:t>
            </w:r>
          </w:p>
        </w:tc>
      </w:tr>
    </w:tbl>
    <w:p>
      <w:pPr>
        <w:spacing w:after="0"/>
      </w:pPr>
    </w:p>
    <w:p>
      <w:pPr>
        <w:keepLines/>
      </w:pPr>
      <w:r>
        <w:t>Реестр кабинетов: Яндекс [ID, владелец, доступ]; VK [ID, владелец, доступ]; Авито [ID, владелец, доступ]; аналитика [ID]. Форматы передачи: доступы, экспорт кампаний в доступном формате, исходники креативов [форматы], медиапланы и отчеты. Сторонние компоненты и лицензии [перечень / отсутствуют].</w:t>
        <w:br/>
        <w:t>От Исполнителя __________________ / [ФИО] /</w:t>
        <w:br/>
        <w:t>От Заказчика __________________ / [ФИО] /</w:t>
      </w:r>
    </w:p>
    <w:p>
      <w:pPr>
        <w:pStyle w:val="Heading1"/>
        <w:pageBreakBefore/>
      </w:pPr>
      <w:r>
        <w:t>Приложение 2 Регламент сервиса и отчетности</w:t>
      </w:r>
    </w:p>
    <w:p>
      <w:r>
        <w:t>К договору № [номер] от [дата]. Рабочее время: понедельник-пятница, 10:00-19:00 по Москве, кроме нерабочих праздничных дней РФ. Рабочий час учитывается только внутри этого интервала. Круглосуточное дежурство и выходные включаются исключительно по отдельному соглашению.</w:t>
      </w:r>
    </w:p>
    <w:tbl>
      <w:tblPr>
        <w:tblW w:type="auto" w:w="0"/>
        <w:jc w:val="center"/>
        <w:tblLayout w:type="fixed"/>
        <w:tblLook w:firstColumn="1" w:firstRow="1" w:lastColumn="0" w:lastRow="0" w:noHBand="0" w:noVBand="1" w:val="04A0"/>
      </w:tblPr>
      <w:tblGrid>
        <w:gridCol w:w="2809"/>
        <w:gridCol w:w="1700"/>
        <w:gridCol w:w="5691"/>
      </w:tblGrid>
      <w:tr>
        <w:trPr>
          <w:tblHeader w:val="true"/>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Обращение</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Реакция</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Действие и срок</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Критическое: неконтролируемый расход, утечка, недоступность сайта или оформление заказа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Временная остановка опасной операции или обходное решение в пределах контроля Исполнителя — до 4 рабочих часов; план восстановления — в тот же рабочий день</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Срочная правка утвержденного материала или цены</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Внесение в течение 1 рабочего дня при наличии полного задания и доступа</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Обычный вопрос или задача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Оценка и согласованный срок — до 1 рабочего дня</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Отчет и акт за месяц</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5-го рабочего дня следующего месяца</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 и факт, расходы, результаты, проблемы, план работ</w:t>
            </w:r>
          </w:p>
        </w:tc>
      </w:tr>
    </w:tbl>
    <w:p>
      <w:pPr>
        <w:spacing w:after="0"/>
      </w:pPr>
    </w:p>
    <w:p>
      <w:r>
        <w:t>2.1. Реакция означает содержательное подтверждение, назначение ответственного и ближайшее действие; автоматический ответ не засчитывается. Заявки подаются на [адрес] и в [система задач]. Таймер начинается при доставке, а для заявок вне рабочего времени — в начале следующего рабочего интервала. Инцидент с персональными данными уведомляется по приложению 3 круглосуточно.</w:t>
      </w:r>
    </w:p>
    <w:p>
      <w:r>
        <w:t>2.2. Срок устранения зависит от причины. Если нужна площадка, хостинг или сведения Заказчика, Исполнитель сообщает, что именно требуется, и обновляет статус не реже одного рабочего дня. Ожидание внешнего ответа не останавливает срок первичной реакции. Неопределенный срок без плана и уведомления не допускается.</w:t>
      </w:r>
    </w:p>
    <w:p>
      <w:r>
        <w:t>2.3. За каждый подтвержденный случай нарушения срока реакции или установленного срока собственной правки вознаграждение за период уменьшается на 1 процент, суммарно не более 10 процентов. Случай фиксируется номером задачи, временем доставки, реакцией и фактическим исполнением. Одна задача дает один перерасчет по SLA. Это согласованная корректировка цены, не ограничивающая иные законные требования по самостоятельному ущербу.</w:t>
      </w:r>
    </w:p>
    <w:p>
      <w:r>
        <w:t>2.4. Перерасчет отражается в акте за текущий либо следующий период. Если следующий период отсутствует, излишне уплаченная сумма возвращается в течение десяти рабочих дней после согласования расчета. При споре оплачивается неоспариваемая часть; Стороны сопоставляют журналы в течение пяти рабочих дней.</w:t>
      </w:r>
    </w:p>
    <w:p>
      <w:r>
        <w:t>2.5. Отчет содержит описание каждой выполненной задачи, ссылку или файл результата, даты, план и факт KPI по единой методике, подтвержденные внешние расходы, причины отклонений и следующие действия. Отдельно раскрываются ошибки учета и изменения настроек. Заказчик имеет доступ к исходным данным и выгрузке, доступной по правилам сервиса.</w:t>
      </w:r>
    </w:p>
    <w:p>
      <w:pPr>
        <w:keepLines/>
      </w:pPr>
      <w:r>
        <w:t>Ответственные: Исполнитель [ФИО, контакт]; Заказчик [ФИО, контакт].</w:t>
        <w:br/>
        <w:t>От Исполнителя __________________ / [ФИО] /</w:t>
        <w:br/>
        <w:t>От Заказчика __________________ / [ФИО] /</w:t>
      </w:r>
    </w:p>
    <w:p>
      <w:pPr>
        <w:pStyle w:val="Heading1"/>
        <w:pageBreakBefore/>
      </w:pPr>
      <w:r>
        <w:t>Приложение 3 Поручение обработки персональных данных</w:t>
      </w:r>
    </w:p>
    <w:p>
      <w:r>
        <w:t>К договору № [номер] от [дата]. Заказчик является оператором, Исполнитель — лицом, обрабатывающим персональные данные по поручению. Приложение заполняется и подписывается до доступа к реальным данным. Если такого доступа нет, Стороны указывают «не применяется» и используют обезличенные или тестовые сведения.</w:t>
      </w:r>
    </w:p>
    <w:tbl>
      <w:tblPr>
        <w:tblW w:type="auto" w:w="0"/>
        <w:jc w:val="center"/>
        <w:tblLayout w:type="fixed"/>
        <w:tblLook w:firstColumn="1" w:firstRow="1" w:lastColumn="0" w:lastRow="0" w:noHBand="0" w:noVBand="1" w:val="04A0"/>
      </w:tblPr>
      <w:tblGrid>
        <w:gridCol w:w="2365"/>
        <w:gridCol w:w="7835"/>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Параметр</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Согласованное значение</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Цели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[Учет обращений, аналитика рекламы, настройка CRM или тестирование сайта; указать конкретные цели]</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Субъекты</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[Клиенты, потенциальные клиенты, пользователи сайта; конкретизировать]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[Имя, телефон, email, идентификатор обращения, источник, заказ; оставить только необходимые поля]</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Операции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запись, систематизация, хранение, уточнение, извлечение, использование, предоставление оператору, блокирование, удаление, уничтожение; уточнить]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Системы и размещение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аналитика, хостинг, адреса систем, страна и место баз данных, владелец и перечень доступов]</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Срок обработки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договора или конкретный срок]; возврат и удаление по пункту 3.6</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Допущенные лица</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[Список сотрудников и согласованных субподрядчиков, их функции и системы]</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для инцидентов</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[ФИО, телефон, email]; Исполнитель [ФИО, телефон, email]</w:t>
            </w:r>
          </w:p>
        </w:tc>
      </w:tr>
    </w:tbl>
    <w:p>
      <w:pPr>
        <w:spacing w:after="0"/>
      </w:pPr>
    </w:p>
    <w:p>
      <w:r>
        <w:t>3.1. Заказчик обеспечивает законные основания обработки и поручения, информирование субъектов, необходимые согласия и исполнение обязанностей оператора. Специальные категории и биометрические данные не поручаются. Исполнитель обрабатывает только перечисленные данные, цели и операции; самостоятельное профилирование и использование вне поручения запрещены.</w:t>
      </w:r>
    </w:p>
    <w:p>
      <w:r>
        <w:t>3.2. Исполнитель соблюдает конфиденциальность, требования части 5 статьи 18, статьи 18.1 и меры защиты по статье 19 Закона № 152-ФЗ применительно к порученным системам. Он устанавливает минимальные права, индивидуальные учетные записи, защищенные каналы, журнал доступа, обновление и контроль средств защиты, резервирование при порученном хранении, учет носителей и порядок удаления. Применимый уровень защищенности и распределение технических мер: [значение, ответственные и документ мер].</w:t>
      </w:r>
    </w:p>
    <w:p>
      <w:r>
        <w:t>3.3. До обработки и по запросу Заказчика в течение трех рабочих дней Исполнитель предоставляет документы, подтверждающие меры безопасности и соблюдение поручения. При сборе данных граждан РФ обеспечивается использование баз данных на территории РФ в установленном законом объеме. Трансграничная передача и подключение нового обработчика допускаются только после отдельного письменного согласования и выполнения законных процедур; одних согласований по этому договору недостаточно.</w:t>
      </w:r>
    </w:p>
    <w:p>
      <w:r>
        <w:t>3.4. Исполнитель сообщает Заказчику о неправомерном доступе, передаче или раскрытии, способном нарушить права субъектов, незамедлительно, не позднее четырех астрономических часов после обнаружения, включая выходные. Он направляет время, характер, категории данных, возможные последствия и принятые меры; уточнения — по мере получения. Материалы расследования предоставляются в срок, позволяющий оператору исполнить законные сроки уведомлений, включая 24 и 72 часа в применимых случаях. Само уведомление органа оператором не передается Исполнителю без отдельного поручения.</w:t>
      </w:r>
    </w:p>
    <w:p>
      <w:r>
        <w:t>3.5. Привлечение обработчика требует предварительного письменного согласия Заказчика, закрепления не менее строгих требований и перечня передаваемых данных. Исполнитель отвечает перед Заказчиком за согласованных обработчиков и обеспечивает исполнение запросов на блокирование, уточнение и удаление в сроки закона. Запрос субъекта передается оператору в течение одного рабочего дня без самостоятельного решения за него.</w:t>
      </w:r>
    </w:p>
    <w:p>
      <w:r>
        <w:t>3.6. При завершении поручения Исполнитель в течение пяти рабочих дней возвращает данные и удаляет рабочие копии, направляя подтверждение. Резервные копии изолируются от использования и удаляются в согласованный срок не более 30 календарных дней, если закон не требует более короткого срока. Законно обязательное хранение ограничивается необходимыми сведениями и сроком; о нем Исполнитель сообщает отдельно. Передаваемые документы учета не содержат избыточных данных клиентов.</w:t>
      </w:r>
    </w:p>
    <w:p>
      <w:pPr>
        <w:keepLines/>
      </w:pPr>
      <w:r>
        <w:t>От Исполнителя __________________ / [ФИО] /</w:t>
        <w:br/>
        <w:t>От Заказчика __________________ / [ФИО] /</w:t>
      </w:r>
    </w:p>
    <w:p>
      <w:pPr>
        <w:pStyle w:val="Heading1"/>
        <w:pageBreakBefore/>
      </w:pPr>
      <w:r>
        <w:t>Приложение 4 Формы приемки и передачи</w:t>
      </w:r>
    </w:p>
    <w:p>
      <w:pPr>
        <w:pStyle w:val="Heading1"/>
      </w:pPr>
      <w:r>
        <w:t>Акт приемки</w:t>
      </w:r>
    </w:p>
    <w:p>
      <w:r>
        <w:t>Акт № [номер] от [дата] к договору № [номер] от [дата]. Период / этап [значение]. Исполнитель ООО «Гифтс-маркет»; Заказчик [наименование].</w:t>
      </w:r>
    </w:p>
    <w:tbl>
      <w:tblPr>
        <w:tblW w:type="auto" w:w="0"/>
        <w:jc w:val="center"/>
        <w:tblLayout w:type="fixed"/>
        <w:tblLook w:firstColumn="1" w:firstRow="1" w:lastColumn="0" w:lastRow="0" w:noHBand="0" w:noVBand="1" w:val="04A0"/>
      </w:tblPr>
      <w:tblGrid>
        <w:gridCol w:w="5470"/>
        <w:gridCol w:w="1478"/>
        <w:gridCol w:w="3252"/>
      </w:tblGrid>
      <w:tr>
        <w:trPr>
          <w:tblHeader w:val="true"/>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 и идентификатор результата</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с налоговым статусом</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bl>
    <w:p>
      <w:pPr>
        <w:spacing w:after="0"/>
      </w:pPr>
    </w:p>
    <w:p>
      <w:r>
        <w:t>Стоимость до корректировок [сумма] рублей; корректировка KPI [сумма] рублей; корректировка SLA [сумма] рублей; итог к оплате [сумма] рублей, в том числе НДС [ставка, сумма / законное основание отсутствия]. Вознаграждение за передачу исключительных прав 5 процентов цены соответствующих работ [сумма] рублей включено в итог; лицензия на собственные ранее созданные компоненты Исполнителя 1 процент [сумма, если применимо] включена в итог. Результаты, на которые переходят права: [перечень и идентификаторы].</w:t>
      </w:r>
    </w:p>
    <w:p>
      <w:r>
        <w:t>Результаты проверки [сценарии и протокол / ссылка на отчет]. Принято [полностью / в перечисленной части]. Недостатки и срок исправления [перечень / отсутствуют]. Сведения о переходе права определяются разделом 6 договора; права третьих лиц действуют по реестру компонентов. Подписание акта не лишает требований по скрытым недостаткам.</w:t>
      </w:r>
    </w:p>
    <w:p>
      <w:pPr>
        <w:keepLines/>
      </w:pPr>
      <w:r>
        <w:t>От Исполнителя __________________ / [ФИО] /</w:t>
        <w:br/>
        <w:t>От Заказчика __________________ / [ФИО] /</w:t>
      </w:r>
    </w:p>
    <w:p>
      <w:pPr>
        <w:pStyle w:val="Heading1"/>
      </w:pPr>
      <w:r>
        <w:t>Акт передачи ресурсов и материалов</w:t>
      </w:r>
    </w:p>
    <w:tbl>
      <w:tblPr>
        <w:tblW w:type="auto" w:w="0"/>
        <w:jc w:val="center"/>
        <w:tblLayout w:type="fixed"/>
        <w:tblLook w:firstColumn="1" w:firstRow="1" w:lastColumn="0" w:lastRow="0" w:noHBand="0" w:noVBand="1" w:val="04A0"/>
      </w:tblPr>
      <w:tblGrid>
        <w:gridCol w:w="3252"/>
        <w:gridCol w:w="5765"/>
        <w:gridCol w:w="1183"/>
      </w:tblGrid>
      <w:tr>
        <w:trPr>
          <w:tblHeader w:val="true"/>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Ресурс или материал</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Передача и проверка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[Кабинет, домен, CRM, аналитика]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[ID, роль владельца, роль Исполнителя, подтверждение доступа]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[Исходники, отчеты, кампании, база]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[Защищенная ссылка, формат, версия, контрольная сумма при необходимости]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[Платный компонент или сервис]</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[Лицензия, тариф, срок продления, кто оплачивает]</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bl>
    <w:p>
      <w:pPr>
        <w:spacing w:after="0"/>
      </w:pPr>
    </w:p>
    <w:p>
      <w:r>
        <w:t>Пароли и токены передаются отдельным защищенным каналом и не включаются в акт. Заказчик проверил доступы [дата], сменил секреты и отозвал права Исполнителя [дата / не требуется]. Неиспользованный аванс [сумма]; расходы [сумма, подтверждения]; остаток у площадки [сумма и порядок возврата]. Возвращаемая сумма и срок [значения]. Передача ресурсов Заказчика не ставится в зависимость от спорного долга.</w:t>
      </w:r>
    </w:p>
    <w:p>
      <w:pPr>
        <w:keepLines/>
      </w:pPr>
      <w:r>
        <w:t>От Исполнителя __________________ / [ФИО] /</w:t>
        <w:br/>
        <w:t>От Заказчика __________________ / [ФИО] /</w:t>
      </w:r>
    </w:p>
    <w:sectPr w:rsidR="00FC693F" w:rsidRPr="0006063C" w:rsidSect="00034616">
      <w:footerReference w:type="default" r:id="rId9"/>
      <w:pgSz w:w="12240" w:h="15840"/>
      <w:pgMar w:top="1020" w:right="1020" w:bottom="1020"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ООО «Гифтс-маркет»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контекстную и таргетированную рекламу</dc:title>
  <dc:subject>Договор с приложениями для заполнения и согласования</dc:subject>
  <dc:creator>ООО «Гифтс-маркет»</dc:creator>
  <cp:keywords/>
  <dc:description>generated by python-docx</dc:description>
  <cp:lastModifiedBy/>
  <cp:revision>1</cp:revision>
  <dcterms:created xsi:type="dcterms:W3CDTF">2013-12-23T23:15:00Z</dcterms:created>
  <dcterms:modified xsi:type="dcterms:W3CDTF">2013-12-23T23:15:00Z</dcterms:modified>
  <cp:category/>
</cp:coreProperties>
</file>